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BEA" w:rsidRDefault="00076BEA" w:rsidP="00076BEA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"/>
        </w:rPr>
      </w:pPr>
      <w:r w:rsidRPr="00CD6D98">
        <w:rPr>
          <w:rFonts w:ascii="Times New Roman" w:hAnsi="Times New Roman" w:cs="Times New Roman"/>
          <w:b/>
          <w:sz w:val="24"/>
          <w:szCs w:val="24"/>
          <w:lang w:val="ru"/>
        </w:rPr>
        <w:t xml:space="preserve">ПЛОТНОСТЬ РАЗЛОМОВ, ЕЕ ВЛИЯНИЕ НА </w:t>
      </w:r>
    </w:p>
    <w:p w:rsidR="00076BEA" w:rsidRDefault="00076BEA" w:rsidP="00076BEA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"/>
        </w:rPr>
      </w:pPr>
      <w:r w:rsidRPr="00CD6D98">
        <w:rPr>
          <w:rFonts w:ascii="Times New Roman" w:hAnsi="Times New Roman" w:cs="Times New Roman"/>
          <w:b/>
          <w:sz w:val="24"/>
          <w:szCs w:val="24"/>
          <w:lang w:val="ru"/>
        </w:rPr>
        <w:t>СЕЙСМИЧЕСКИЙ ПРОЦЕСС И ФЛЮИДНУЮ ПРОНИЦАЕМОСТЬ ЛИТОСФЕРЫ</w:t>
      </w:r>
      <w:r>
        <w:rPr>
          <w:rStyle w:val="a5"/>
          <w:rFonts w:ascii="Times New Roman" w:hAnsi="Times New Roman" w:cs="Times New Roman"/>
          <w:b/>
          <w:sz w:val="24"/>
          <w:szCs w:val="24"/>
          <w:lang w:val="ru"/>
        </w:rPr>
        <w:footnoteReference w:customMarkFollows="1" w:id="1"/>
        <w:t>*</w:t>
      </w:r>
    </w:p>
    <w:p w:rsidR="00076BEA" w:rsidRDefault="00076BEA" w:rsidP="00076BEA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"/>
        </w:rPr>
      </w:pPr>
    </w:p>
    <w:p w:rsidR="00076BEA" w:rsidRPr="00136D39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6D39">
        <w:rPr>
          <w:rFonts w:ascii="Times New Roman" w:hAnsi="Times New Roman" w:cs="Times New Roman"/>
          <w:sz w:val="24"/>
          <w:szCs w:val="24"/>
        </w:rPr>
        <w:t xml:space="preserve">Показано, что параметр плотности разломов необходимо рассматривать более широко как весьма информативный показатель тектонофизических свойств хрупкой литосферы. В комплексе с напряженным состоянием среды, ее сейсмичностью и другими факторами он предопределяет флюидо- и газопроницаемость коры и в целом хрупкой литосферы, способствует концентрации и рудоотложению минеральных формирований. Исследование современной сейсмичности для выяснения закономерностей активизаций разломов и/или современного разломообразования в литосфере способствует более полному выяснению закономерностей деструкции коры и литосферы в предшествующие геологические эпохи и ее влиянии на формирование рудных полей и месторождений. </w:t>
      </w:r>
    </w:p>
    <w:p w:rsidR="00076BEA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6BEA" w:rsidRPr="00136D39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36D39">
        <w:rPr>
          <w:rFonts w:ascii="Times New Roman" w:hAnsi="Times New Roman" w:cs="Times New Roman"/>
          <w:sz w:val="24"/>
          <w:szCs w:val="24"/>
        </w:rPr>
        <w:t>Разломы являются рудо-, гидро- и сейсмоконтролирующими структурами земной коры и литосферы. Большинство рудных месторождений приурочены к разломам или узлам их пересечений [2, 13, 14, 15 и др.]. Эти дизъюнктивные формирования вместе с областями своего динамического влияния характеризуются повышенной или даже высокой плотностью локальных, более мелких дизъюнктивов, перколяционная структура которых наиболее проницаема для флюидов, особенно в периоды активизаций разломно-блоковой вмещающей среды. С другой стороны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36D39">
        <w:rPr>
          <w:rFonts w:ascii="Times New Roman" w:hAnsi="Times New Roman" w:cs="Times New Roman"/>
          <w:sz w:val="24"/>
          <w:szCs w:val="24"/>
        </w:rPr>
        <w:t xml:space="preserve"> интенсивная плотность разломов существенно снижает прочность массивов горных пород и препятствует накоплению высоких напряжений. На современном этапе развития высокая плотность разломов снижает квазивязкость горных пород, увеличивает их «способность к течению», нарушению устойчивости горных выработок и возникновению горных ударов. Однако это же состояние массивов горных пород в различных современных геодинамических условиях будет характеризоваться сейсмичностью, процесс которой в динамике может быть исследован мониторингом землетрясений различных энергетических классов. Разломообразование и сейсмичность – генетически взаимосвязанные процессы. Исследование современного разломообразования или/и активизации разломов – один из ключей к познанию последовательности развития и усложнения разломной сети во времени, факторов и источников ее активизаций, их воздействий на современные вариации сейсмичности и возможности «переноса» получаемых закономерностей на формирование дизъюнктивных структур рудных полей и месторождений.  Степень </w:t>
      </w:r>
      <w:r w:rsidRPr="00136D39">
        <w:rPr>
          <w:rFonts w:ascii="Times New Roman" w:hAnsi="Times New Roman" w:cs="Times New Roman"/>
          <w:iCs/>
          <w:sz w:val="24"/>
          <w:szCs w:val="24"/>
        </w:rPr>
        <w:t xml:space="preserve">деструкции литосферы определяется плотностью разломов, которая, при необходимости, позволяет уйти от дискретного представления деструкции хрупкой разломно-блоковой среды к континуальной форме через численные параметры. </w:t>
      </w:r>
    </w:p>
    <w:p w:rsidR="00076BEA" w:rsidRPr="00136D39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Плотность вариации разломов во времени оцениваются по анализу многолетних данных сейсмического мониторинга, зафиксированного в каталогах землетрясений. </w:t>
      </w:r>
      <w:r w:rsidRPr="00136D39">
        <w:rPr>
          <w:rFonts w:ascii="Times New Roman" w:hAnsi="Times New Roman" w:cs="Times New Roman"/>
          <w:sz w:val="24"/>
          <w:szCs w:val="24"/>
        </w:rPr>
        <w:t>Установление зависимости между плотностью разломов, закономерностями их активизаций в реальном времени и расположением очагов землетрясений различных энергетических классов даст возможность оценивать факторы, определяющие места локализаций зон повышенной флюидопроницаемости земной коры и хрупкой литосферы в целом. На решение этой проблемы и направлены наши исследования, основной задачей которых является определение математической зависимости энергетического класса землетрясений от плотности разломов. Исследования проводятся на примере Байкальской рифтовой системы (БРС) – одной из наиболее сейсмоактивных и хорошо изученных в плане разломной тектоники и сейсмичности областей России.</w:t>
      </w:r>
    </w:p>
    <w:p w:rsidR="00076BEA" w:rsidRPr="00136D39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6D39"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r w:rsidRPr="00136D39">
        <w:rPr>
          <w:rFonts w:ascii="Times New Roman" w:hAnsi="Times New Roman" w:cs="Times New Roman"/>
          <w:iCs/>
          <w:sz w:val="24"/>
          <w:szCs w:val="24"/>
        </w:rPr>
        <w:t xml:space="preserve">последние годы в ряде публикаций [8, 9, 10, 11, 12] </w:t>
      </w:r>
      <w:r w:rsidRPr="00136D39">
        <w:rPr>
          <w:rFonts w:ascii="Times New Roman" w:hAnsi="Times New Roman" w:cs="Times New Roman"/>
          <w:sz w:val="24"/>
          <w:szCs w:val="24"/>
        </w:rPr>
        <w:t>рассматривалось положение очагов сильных землетрясений в полях тектонической раздробленности литосферы, числовая характеристика которой выражается через плотность разломов.</w:t>
      </w:r>
    </w:p>
    <w:p w:rsidR="00076BEA" w:rsidRPr="00136D39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36D39">
        <w:rPr>
          <w:rFonts w:ascii="Times New Roman" w:hAnsi="Times New Roman" w:cs="Times New Roman"/>
          <w:sz w:val="24"/>
          <w:szCs w:val="24"/>
        </w:rPr>
        <w:t xml:space="preserve"> Рассмотрим некоторые известные факты пространственных взаимосвязей распределения зон повышенной тектонической раздробленности и эпицентров очагов ощутимых землетрясений. При этом наиболее раздробленными участками зон крупных разломов являются области сочленения крупных разнонаправленных разломов, их пересечение с поперечными, диагональными разрывами более низкого порядка. Положения очагов катастрофических землетрясений: Спитакского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136D39">
        <w:rPr>
          <w:rFonts w:ascii="Times New Roman" w:hAnsi="Times New Roman" w:cs="Times New Roman"/>
          <w:sz w:val="24"/>
          <w:szCs w:val="24"/>
        </w:rPr>
        <w:t>1988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36D39">
        <w:rPr>
          <w:rFonts w:ascii="Times New Roman" w:hAnsi="Times New Roman" w:cs="Times New Roman"/>
          <w:sz w:val="24"/>
          <w:szCs w:val="24"/>
        </w:rPr>
        <w:t xml:space="preserve">, Рачинского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136D39">
        <w:rPr>
          <w:rFonts w:ascii="Times New Roman" w:hAnsi="Times New Roman" w:cs="Times New Roman"/>
          <w:sz w:val="24"/>
          <w:szCs w:val="24"/>
        </w:rPr>
        <w:t>1991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36D39">
        <w:rPr>
          <w:rFonts w:ascii="Times New Roman" w:hAnsi="Times New Roman" w:cs="Times New Roman"/>
          <w:sz w:val="24"/>
          <w:szCs w:val="24"/>
        </w:rPr>
        <w:t xml:space="preserve"> и Чуйского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136D39">
        <w:rPr>
          <w:rFonts w:ascii="Times New Roman" w:hAnsi="Times New Roman" w:cs="Times New Roman"/>
          <w:sz w:val="24"/>
          <w:szCs w:val="24"/>
        </w:rPr>
        <w:t>2003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36D39">
        <w:rPr>
          <w:rFonts w:ascii="Times New Roman" w:hAnsi="Times New Roman" w:cs="Times New Roman"/>
          <w:sz w:val="24"/>
          <w:szCs w:val="24"/>
        </w:rPr>
        <w:t xml:space="preserve"> – приурочены к пограничным областям выделенных в поле тектонической раздробленности крупных геологических блоков, т.е. к разломным зонам. </w:t>
      </w:r>
      <w:r>
        <w:rPr>
          <w:rFonts w:ascii="Times New Roman" w:hAnsi="Times New Roman" w:cs="Times New Roman"/>
          <w:sz w:val="24"/>
          <w:szCs w:val="24"/>
        </w:rPr>
        <w:t>Благодаря анализу пространственного положения</w:t>
      </w:r>
      <w:r w:rsidRPr="00136D39">
        <w:rPr>
          <w:rFonts w:ascii="Times New Roman" w:hAnsi="Times New Roman" w:cs="Times New Roman"/>
          <w:sz w:val="24"/>
          <w:szCs w:val="24"/>
        </w:rPr>
        <w:t xml:space="preserve"> очагов сильных землетрясений в областях динамического влияния крупных протяженных разломов, установлено, что эпицентры тяготеют к местам повышенных значений плотности разломов [1, 20]. В этих случаях магнитуда землетрясений имеет тенденцию повышения с ростом плотности разломов. </w:t>
      </w:r>
      <w:r w:rsidRPr="00136D39">
        <w:rPr>
          <w:rFonts w:ascii="Times New Roman" w:hAnsi="Times New Roman" w:cs="Times New Roman"/>
          <w:iCs/>
          <w:sz w:val="24"/>
          <w:szCs w:val="24"/>
        </w:rPr>
        <w:t>К близкому выводу пришли К.Г. Леви и др. [6] относительно всех активных разломов Монголии. Исследователи получили прямую корреляционную зависимость между плотностью разломов и магнитудой землетрясений [6]: вероятность возникновения сильных сейсмических событий оказалась наиболее вероятной там, где выше плотность разломов. Изложенное не в полной мере согласуется с известными положениями механики о том, что сильно раздробленная среда не в состоянии накапливать большие напряжения, необходимые для возникновения сильного землетрясения. Разрядка напряжений происходит путем малоамплитудных межблоковых подвижек, сопровождаемых слабыми, но частыми землетрясениями. Математическое моделирование блоковой динамики литосферы, проведенное П.О. Соболевым [16], сняло возникающие дискуссии и еще раз подтвердило распространенное положение о том, что с увеличением степени раздробленности хрупкой литосферы, повышения плотности разломов и, соответственно, уменьшением размеров блоков,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36D39">
        <w:rPr>
          <w:rFonts w:ascii="Times New Roman" w:hAnsi="Times New Roman" w:cs="Times New Roman"/>
          <w:iCs/>
          <w:sz w:val="24"/>
          <w:szCs w:val="24"/>
        </w:rPr>
        <w:t>упругие напряжения будут разряжаться в виде многочисленных слабых землетрясений. В более крупных разломно-блоковых структурах сдвижения блоков характеризуются существенными вариациями амплитуд, а возможность возникновения более сильных землетрясений непропорционально возрастает.</w:t>
      </w:r>
    </w:p>
    <w:p w:rsidR="00076BEA" w:rsidRPr="00136D39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36D39">
        <w:rPr>
          <w:rFonts w:ascii="Times New Roman" w:hAnsi="Times New Roman" w:cs="Times New Roman"/>
          <w:iCs/>
          <w:sz w:val="24"/>
          <w:szCs w:val="24"/>
        </w:rPr>
        <w:t>Анализируя раздробленность земной коры формализованным алгоритмом по гравитационным и топографическим данным на примере территории Калифорнии, В.А. Желиговский с соавторами [3] установили, что в целом эпицентральные области землетрясений с М&gt;6 приурочены к зонам с промежуточной, средней для области плотностью выявленных ими линейных структур. Это также подтверждается и для БРС, где сильные сейсмические события тяготеют к местам промежуточных (средних) значений плотности разломов, примыкающих к областям с повышенной плотностью разломов [18].</w:t>
      </w:r>
    </w:p>
    <w:p w:rsidR="00076BEA" w:rsidRPr="00136D39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36D39">
        <w:rPr>
          <w:rFonts w:ascii="Times New Roman" w:hAnsi="Times New Roman" w:cs="Times New Roman"/>
          <w:iCs/>
          <w:sz w:val="24"/>
          <w:szCs w:val="24"/>
        </w:rPr>
        <w:t xml:space="preserve">В общем случае увеличение плотности разломов снижает квазивязкость коры, что в свою очередь не позволяет коре накапливать большие напряжения необходимые для генерации сильных землетрясений. Сильные сейсмические события приурочены к местам повышенной плотности небольших разрывов в областях динамического влияния крупного протяженного разлома. При этом сильные землетрясения осложняют деструктивную зону крупного разлома, за счет образования новых разрывов и трещин более низкого порядка. Так как слабые сейсмические события, контролируемые региональными разломами, редко являются источниками возникновения новых разрывов и трещин, то лишь в эпицентральных зонах сильных землетрясений можно установить и разграничить новые, только возникшие разломы от реактивированных. </w:t>
      </w:r>
    </w:p>
    <w:p w:rsidR="00076BEA" w:rsidRPr="00136D39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36D39">
        <w:rPr>
          <w:rFonts w:ascii="Times New Roman" w:hAnsi="Times New Roman" w:cs="Times New Roman"/>
          <w:iCs/>
          <w:sz w:val="24"/>
          <w:szCs w:val="24"/>
        </w:rPr>
        <w:t xml:space="preserve">Таким образом, возникает внешнее противоречие между известными фактами связи сильных землетрясений с крупными разломами, с одной стороны, и невозможностью накопления больших напряжений, в интенсивно трещиноватой, раздробленной среде, необходимых для реализации в форме сильных землетрясений, с другой. </w:t>
      </w:r>
    </w:p>
    <w:p w:rsidR="00076BEA" w:rsidRPr="00136D39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6D39">
        <w:rPr>
          <w:rFonts w:ascii="Times New Roman" w:hAnsi="Times New Roman" w:cs="Times New Roman"/>
          <w:sz w:val="24"/>
          <w:szCs w:val="24"/>
        </w:rPr>
        <w:lastRenderedPageBreak/>
        <w:t xml:space="preserve">Изучение плотности активных разломов может внести дополнительный вклад в наши знания об эпицентральных полях землетрясений и, самое главное, о локализации в них сильных сейсмических событий. Землетрясения связаны с активизацией разломов. Более того, они являются бесспорным признаком активизации разрывов, даже в тех случаях, когда другие факторы этого процесса не могут быть выявлены. Активные разломы, как наиболее ослабленные межблоковые границы в значительной степени предопределяют квазивязкость среды, и, как следствие, предопределяют частоту и силу сейсмических событий [21]. </w:t>
      </w:r>
    </w:p>
    <w:p w:rsidR="00076BEA" w:rsidRPr="00136D39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36D39">
        <w:rPr>
          <w:rFonts w:ascii="Times New Roman" w:hAnsi="Times New Roman" w:cs="Times New Roman"/>
          <w:iCs/>
          <w:sz w:val="24"/>
          <w:szCs w:val="24"/>
        </w:rPr>
        <w:t>Авторами на материалах хорошо изученной БРС было выполнено две серии работ для выявления связи между силой сейсмических событий и плотностью разломов. В каждой из серий тестирование было проведено на базе некоторых сильных землетрясений БРС и подготовленного нами цифрового варианта «Карты разломов юга Восточной Сибири» [4].</w:t>
      </w:r>
      <w:r w:rsidRPr="00136D39">
        <w:rPr>
          <w:rFonts w:ascii="Times New Roman" w:hAnsi="Times New Roman" w:cs="Times New Roman"/>
          <w:sz w:val="24"/>
          <w:szCs w:val="24"/>
        </w:rPr>
        <w:t xml:space="preserve"> Необходимые данные по сейсмичности за 1960-2000 гг. взяты из каталогов землетрясений, составленных Байкальским филиалом Геофизической Службы СО РАН. </w:t>
      </w:r>
    </w:p>
    <w:p w:rsidR="00076BEA" w:rsidRPr="00136D39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36D39">
        <w:rPr>
          <w:rFonts w:ascii="Times New Roman" w:hAnsi="Times New Roman" w:cs="Times New Roman"/>
          <w:iCs/>
          <w:sz w:val="24"/>
          <w:szCs w:val="24"/>
        </w:rPr>
        <w:t xml:space="preserve">Задача первой серии работ состояла в определении пространственной локализации эпицентров землетрясений различных энергетических классов в континуально выраженной в изолиниях плотности разломов. Плотность разломов вычислялась по площадкам с </w:t>
      </w:r>
      <w:r w:rsidRPr="00136D39">
        <w:rPr>
          <w:rFonts w:ascii="Times New Roman" w:hAnsi="Times New Roman" w:cs="Times New Roman"/>
          <w:sz w:val="24"/>
          <w:szCs w:val="24"/>
        </w:rPr>
        <w:t xml:space="preserve">размерами 10×10 км и 20×20 км. На рис. 1 представлена карта плотности разломов для площадки 20×20 км с эпицентрами сильных землетрясений. Расчет плотностей для каждой площадки проводился четырьмя наиболее распространенными способами по уравнениям: </w:t>
      </w:r>
    </w:p>
    <w:p w:rsidR="00076BEA" w:rsidRPr="00136D39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36D39">
        <w:rPr>
          <w:rFonts w:ascii="Times New Roman" w:hAnsi="Times New Roman" w:cs="Times New Roman"/>
          <w:i/>
          <w:sz w:val="24"/>
          <w:szCs w:val="24"/>
          <w:lang w:val="en-US"/>
        </w:rPr>
        <w:t>∑w</w:t>
      </w:r>
      <w:r w:rsidRPr="00136D3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 xml:space="preserve">i </w:t>
      </w:r>
      <w:r w:rsidRPr="00136D39">
        <w:rPr>
          <w:rFonts w:ascii="Times New Roman" w:hAnsi="Times New Roman" w:cs="Times New Roman"/>
          <w:i/>
          <w:sz w:val="24"/>
          <w:szCs w:val="24"/>
          <w:lang w:val="en-US"/>
        </w:rPr>
        <w:t>/ 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136D39">
        <w:rPr>
          <w:rFonts w:ascii="Times New Roman" w:hAnsi="Times New Roman" w:cs="Times New Roman"/>
          <w:sz w:val="24"/>
          <w:szCs w:val="24"/>
          <w:lang w:val="en-US"/>
        </w:rPr>
        <w:t>(1),</w:t>
      </w:r>
    </w:p>
    <w:p w:rsidR="00076BEA" w:rsidRPr="00136D39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36D39">
        <w:rPr>
          <w:rFonts w:ascii="Times New Roman" w:hAnsi="Times New Roman" w:cs="Times New Roman"/>
          <w:i/>
          <w:sz w:val="24"/>
          <w:szCs w:val="24"/>
          <w:lang w:val="en-US"/>
        </w:rPr>
        <w:t>∑l</w:t>
      </w:r>
      <w:r w:rsidRPr="00136D3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r w:rsidRPr="00136D39">
        <w:rPr>
          <w:rFonts w:ascii="Times New Roman" w:hAnsi="Times New Roman" w:cs="Times New Roman"/>
          <w:i/>
          <w:sz w:val="24"/>
          <w:szCs w:val="24"/>
          <w:lang w:val="en-US"/>
        </w:rPr>
        <w:t>w</w:t>
      </w:r>
      <w:r w:rsidRPr="00136D3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 xml:space="preserve">i </w:t>
      </w:r>
      <w:r w:rsidRPr="00136D39">
        <w:rPr>
          <w:rFonts w:ascii="Times New Roman" w:hAnsi="Times New Roman" w:cs="Times New Roman"/>
          <w:i/>
          <w:sz w:val="24"/>
          <w:szCs w:val="24"/>
          <w:lang w:val="en-US"/>
        </w:rPr>
        <w:t>/ 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ab/>
      </w:r>
      <w:r w:rsidRPr="00136D39">
        <w:rPr>
          <w:rFonts w:ascii="Times New Roman" w:hAnsi="Times New Roman" w:cs="Times New Roman"/>
          <w:sz w:val="24"/>
          <w:szCs w:val="24"/>
          <w:lang w:val="en-US"/>
        </w:rPr>
        <w:t>(2),</w:t>
      </w:r>
    </w:p>
    <w:p w:rsidR="00076BEA" w:rsidRPr="00076BEA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36D39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076BE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/ </w:t>
      </w:r>
      <w:r w:rsidRPr="00136D39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076BE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76BE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76BE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076BEA">
        <w:rPr>
          <w:rFonts w:ascii="Times New Roman" w:hAnsi="Times New Roman" w:cs="Times New Roman"/>
          <w:sz w:val="24"/>
          <w:szCs w:val="24"/>
          <w:lang w:val="en-US"/>
        </w:rPr>
        <w:tab/>
        <w:t>(3),</w:t>
      </w:r>
    </w:p>
    <w:p w:rsidR="00076BEA" w:rsidRPr="00136D39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06FB">
        <w:rPr>
          <w:rFonts w:ascii="Times New Roman" w:hAnsi="Times New Roman" w:cs="Times New Roman"/>
          <w:i/>
          <w:sz w:val="24"/>
          <w:szCs w:val="24"/>
        </w:rPr>
        <w:t>∑</w:t>
      </w:r>
      <w:r w:rsidRPr="00136D39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136D3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r w:rsidRPr="00CE06FB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CE06FB">
        <w:rPr>
          <w:rFonts w:ascii="Times New Roman" w:hAnsi="Times New Roman" w:cs="Times New Roman"/>
          <w:i/>
          <w:sz w:val="24"/>
          <w:szCs w:val="24"/>
        </w:rPr>
        <w:t xml:space="preserve">/ </w:t>
      </w:r>
      <w:r w:rsidRPr="00136D39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136D39">
        <w:rPr>
          <w:rFonts w:ascii="Times New Roman" w:hAnsi="Times New Roman" w:cs="Times New Roman"/>
          <w:sz w:val="24"/>
          <w:szCs w:val="24"/>
        </w:rPr>
        <w:t>(4),</w:t>
      </w:r>
    </w:p>
    <w:p w:rsidR="00076BEA" w:rsidRPr="00136D39" w:rsidRDefault="00076BEA" w:rsidP="00076BEA">
      <w:pPr>
        <w:tabs>
          <w:tab w:val="left" w:pos="4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D39">
        <w:rPr>
          <w:rFonts w:ascii="Times New Roman" w:hAnsi="Times New Roman" w:cs="Times New Roman"/>
          <w:sz w:val="24"/>
          <w:szCs w:val="24"/>
        </w:rPr>
        <w:t xml:space="preserve">где  </w:t>
      </w:r>
      <w:r w:rsidRPr="00136D39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136D39">
        <w:rPr>
          <w:rFonts w:ascii="Times New Roman" w:hAnsi="Times New Roman" w:cs="Times New Roman"/>
          <w:sz w:val="24"/>
          <w:szCs w:val="24"/>
        </w:rPr>
        <w:t xml:space="preserve"> - количество разломов в границах элементарной площадки;  </w:t>
      </w:r>
      <w:r w:rsidRPr="00136D39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136D3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r w:rsidRPr="00136D39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136D39">
        <w:rPr>
          <w:rFonts w:ascii="Times New Roman" w:hAnsi="Times New Roman" w:cs="Times New Roman"/>
          <w:sz w:val="24"/>
          <w:szCs w:val="24"/>
        </w:rPr>
        <w:t xml:space="preserve">– длина  </w:t>
      </w:r>
      <w:r w:rsidRPr="00136D39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136D39">
        <w:rPr>
          <w:rFonts w:ascii="Times New Roman" w:hAnsi="Times New Roman" w:cs="Times New Roman"/>
          <w:b/>
          <w:sz w:val="24"/>
          <w:szCs w:val="24"/>
        </w:rPr>
        <w:t>-</w:t>
      </w:r>
      <w:r w:rsidRPr="00136D39">
        <w:rPr>
          <w:rFonts w:ascii="Times New Roman" w:hAnsi="Times New Roman" w:cs="Times New Roman"/>
          <w:sz w:val="24"/>
          <w:szCs w:val="24"/>
        </w:rPr>
        <w:t xml:space="preserve">ого разлома в границах элементарной площадки, км; </w:t>
      </w:r>
      <w:r w:rsidRPr="00136D39">
        <w:rPr>
          <w:rFonts w:ascii="Times New Roman" w:hAnsi="Times New Roman" w:cs="Times New Roman"/>
          <w:i/>
          <w:sz w:val="24"/>
          <w:szCs w:val="24"/>
          <w:lang w:val="en-US"/>
        </w:rPr>
        <w:t>w</w:t>
      </w:r>
      <w:r w:rsidRPr="00136D39">
        <w:rPr>
          <w:rFonts w:ascii="Times New Roman" w:hAnsi="Times New Roman" w:cs="Times New Roman"/>
          <w:sz w:val="24"/>
          <w:szCs w:val="24"/>
        </w:rPr>
        <w:t xml:space="preserve"> – численное значение ранга, устанавливаемое для каждого разлома</w:t>
      </w:r>
      <w:r w:rsidRPr="00136D3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36D39">
        <w:rPr>
          <w:rFonts w:ascii="Times New Roman" w:hAnsi="Times New Roman" w:cs="Times New Roman"/>
          <w:i/>
          <w:sz w:val="24"/>
          <w:szCs w:val="24"/>
          <w:lang w:val="en-US"/>
        </w:rPr>
        <w:t>w</w:t>
      </w:r>
      <w:r w:rsidRPr="00136D39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r w:rsidRPr="00136D39">
        <w:rPr>
          <w:rFonts w:ascii="Times New Roman" w:hAnsi="Times New Roman" w:cs="Times New Roman"/>
          <w:sz w:val="24"/>
          <w:szCs w:val="24"/>
        </w:rPr>
        <w:t xml:space="preserve"> , в соответствии с его полной длиной и другими характеристиками;  </w:t>
      </w:r>
      <w:r w:rsidRPr="00136D39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136D39">
        <w:rPr>
          <w:rFonts w:ascii="Times New Roman" w:hAnsi="Times New Roman" w:cs="Times New Roman"/>
          <w:sz w:val="24"/>
          <w:szCs w:val="24"/>
        </w:rPr>
        <w:t xml:space="preserve"> – площадь элементарной площадки, км</w:t>
      </w:r>
      <w:r w:rsidRPr="00136D3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36D39">
        <w:rPr>
          <w:rFonts w:ascii="Times New Roman" w:hAnsi="Times New Roman" w:cs="Times New Roman"/>
          <w:sz w:val="24"/>
          <w:szCs w:val="24"/>
        </w:rPr>
        <w:t xml:space="preserve">. Уравнения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136D3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36D39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136D3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36D39">
        <w:rPr>
          <w:rFonts w:ascii="Times New Roman" w:hAnsi="Times New Roman" w:cs="Times New Roman"/>
          <w:sz w:val="24"/>
          <w:szCs w:val="24"/>
        </w:rPr>
        <w:t xml:space="preserve"> учитывают длину разломов и их соответствующий ранг, отражающие геологическую значимость соответствующих разрывов. Взвешивание на длину и учет ранга разрывов позволяет выявить их влияние на энергетический класс контролируемых сейсмических событий. </w:t>
      </w:r>
    </w:p>
    <w:p w:rsidR="00076BEA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6BEA" w:rsidRDefault="00076BEA" w:rsidP="00076BEA">
      <w:pPr>
        <w:tabs>
          <w:tab w:val="left" w:pos="4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8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D853F8" wp14:editId="201A465C">
            <wp:extent cx="5978106" cy="4096148"/>
            <wp:effectExtent l="0" t="0" r="3810" b="0"/>
            <wp:docPr id="12" name="Рисунок 12" descr="D:\18НАУЧНАЯ РАБОТА\01СТАТЬИ\2017\ТРУДЫ\Шерман Рукописи по темам\ТЕМА 5\[368] Геология, поиски и разведка рудных месторождений, 2007, Вып.5(31)\Шерман и др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D:\18НАУЧНАЯ РАБОТА\01СТАТЬИ\2017\ТРУДЫ\Шерман Рукописи по темам\ТЕМА 5\[368] Геология, поиски и разведка рудных месторождений, 2007, Вып.5(31)\Шерман и др 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3" t="2094" b="7459"/>
                    <a:stretch/>
                  </pic:blipFill>
                  <pic:spPr bwMode="auto">
                    <a:xfrm>
                      <a:off x="0" y="0"/>
                      <a:ext cx="5984896" cy="41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BEA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6BEA" w:rsidRPr="00BA4A8F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A8F">
        <w:rPr>
          <w:rFonts w:ascii="Times New Roman" w:hAnsi="Times New Roman" w:cs="Times New Roman"/>
          <w:sz w:val="24"/>
          <w:szCs w:val="24"/>
        </w:rPr>
        <w:t>Рис. 1. Карта плотности разломов Байкальской рифтовой системы с эпицентрами сильных землетрясений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BA4A8F">
        <w:rPr>
          <w:rFonts w:ascii="Times New Roman" w:hAnsi="Times New Roman" w:cs="Times New Roman"/>
          <w:sz w:val="24"/>
          <w:szCs w:val="24"/>
        </w:rPr>
        <w:t xml:space="preserve">1 – землетрясения с К≥15; 2  – озера; 3 – впадины; справа – шкала изолиний плотности разломов, рассчитанная по количеству разрывов на площадке 20×20 км. </w:t>
      </w:r>
      <w:r>
        <w:rPr>
          <w:rFonts w:ascii="Times New Roman" w:hAnsi="Times New Roman" w:cs="Times New Roman"/>
          <w:sz w:val="24"/>
          <w:szCs w:val="24"/>
        </w:rPr>
        <w:t>Оконтуривающая</w:t>
      </w:r>
      <w:r w:rsidRPr="00BA4A8F">
        <w:rPr>
          <w:rFonts w:ascii="Times New Roman" w:hAnsi="Times New Roman" w:cs="Times New Roman"/>
          <w:sz w:val="24"/>
          <w:szCs w:val="24"/>
        </w:rPr>
        <w:t xml:space="preserve"> изолиния на карте – среднее значение плотности; белая изолиния – среднее значение плотности, увеличенное на одну среднеквадратическую ошибку.</w:t>
      </w:r>
    </w:p>
    <w:p w:rsidR="00076BEA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6BEA" w:rsidRPr="00136D39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6D39">
        <w:rPr>
          <w:rFonts w:ascii="Times New Roman" w:hAnsi="Times New Roman" w:cs="Times New Roman"/>
          <w:sz w:val="24"/>
          <w:szCs w:val="24"/>
        </w:rPr>
        <w:t xml:space="preserve">На графиках рис. 2А показаны рассчитанные по уравнениям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136D3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36D39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136D3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36D39">
        <w:rPr>
          <w:rFonts w:ascii="Times New Roman" w:hAnsi="Times New Roman" w:cs="Times New Roman"/>
          <w:sz w:val="24"/>
          <w:szCs w:val="24"/>
        </w:rPr>
        <w:t xml:space="preserve"> прямые, фиксирующие соотношения между энергетическим классом землетрясений и рангом разрывов. Графики отражают и подтверждают известную закономерность о тенденции связи относительно сильных землетрясений с более крупными, протя</w:t>
      </w:r>
      <w:r>
        <w:rPr>
          <w:rFonts w:ascii="Times New Roman" w:hAnsi="Times New Roman" w:cs="Times New Roman"/>
          <w:sz w:val="24"/>
          <w:szCs w:val="24"/>
        </w:rPr>
        <w:t>женными разломами. На графиках рис. 2Б</w:t>
      </w:r>
      <w:r w:rsidRPr="00136D3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показана</w:t>
      </w:r>
      <w:r w:rsidRPr="00136D39">
        <w:rPr>
          <w:rFonts w:ascii="Times New Roman" w:hAnsi="Times New Roman" w:cs="Times New Roman"/>
          <w:sz w:val="24"/>
          <w:szCs w:val="24"/>
        </w:rPr>
        <w:t xml:space="preserve"> тенденция связи относительно сильных землетрясений с общей раздробленностью коры, рассчитанной по уравнениям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136D3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36D39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136D39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36D39">
        <w:rPr>
          <w:rFonts w:ascii="Times New Roman" w:hAnsi="Times New Roman" w:cs="Times New Roman"/>
          <w:sz w:val="24"/>
          <w:szCs w:val="24"/>
        </w:rPr>
        <w:t>. Видно, что увеличение общей плотности разрывов снижает энергетический класс контролируемых землетрясений. Подтверждаются представления о том, что интенсивное дробление разломно-блоковой среды хрупкой литосферы препятствует накоплению высоких напряжения, необходимых для генерации сильных землетрясений.</w:t>
      </w:r>
    </w:p>
    <w:p w:rsidR="00076BEA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6BEA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A8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09F52A" wp14:editId="380F1982">
            <wp:extent cx="4615133" cy="4367414"/>
            <wp:effectExtent l="0" t="0" r="0" b="0"/>
            <wp:docPr id="14" name="Рисунок 14" descr="D:\18НАУЧНАЯ РАБОТА\01СТАТЬИ\2017\ТРУДЫ\Шерман Рукописи по темам\ТЕМА 5\[368] Геология, поиски и разведка рудных месторождений, 2007, Вып.5(31)\Шерман и др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D:\18НАУЧНАЯ РАБОТА\01СТАТЬИ\2017\ТРУДЫ\Шерман Рукописи по темам\ТЕМА 5\[368] Геология, поиски и разведка рудных месторождений, 2007, Вып.5(31)\Шерман и др 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882" cy="437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BEA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6BEA" w:rsidRPr="00BA4A8F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A8F">
        <w:rPr>
          <w:rFonts w:ascii="Times New Roman" w:hAnsi="Times New Roman" w:cs="Times New Roman"/>
          <w:sz w:val="24"/>
          <w:szCs w:val="24"/>
        </w:rPr>
        <w:t xml:space="preserve">Рис. 2. Графики зависимости </w:t>
      </w:r>
      <w:r w:rsidRPr="00BA4A8F">
        <w:rPr>
          <w:rFonts w:ascii="Times New Roman" w:hAnsi="Times New Roman" w:cs="Times New Roman"/>
          <w:i/>
          <w:sz w:val="24"/>
          <w:szCs w:val="24"/>
        </w:rPr>
        <w:t>∑</w:t>
      </w:r>
      <w:r w:rsidRPr="00BA4A8F">
        <w:rPr>
          <w:rFonts w:ascii="Times New Roman" w:hAnsi="Times New Roman" w:cs="Times New Roman"/>
          <w:i/>
          <w:sz w:val="24"/>
          <w:szCs w:val="24"/>
          <w:lang w:val="en-US"/>
        </w:rPr>
        <w:t>w</w:t>
      </w:r>
      <w:r w:rsidRPr="00BA4A8F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r w:rsidRPr="00BA4A8F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BA4A8F">
        <w:rPr>
          <w:rFonts w:ascii="Times New Roman" w:hAnsi="Times New Roman" w:cs="Times New Roman"/>
          <w:i/>
          <w:sz w:val="24"/>
          <w:szCs w:val="24"/>
        </w:rPr>
        <w:t xml:space="preserve">/ </w:t>
      </w:r>
      <w:r w:rsidRPr="00BA4A8F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BA4A8F">
        <w:rPr>
          <w:rFonts w:ascii="Times New Roman" w:hAnsi="Times New Roman" w:cs="Times New Roman"/>
          <w:i/>
          <w:sz w:val="24"/>
          <w:szCs w:val="24"/>
        </w:rPr>
        <w:t>;</w:t>
      </w:r>
      <w:r w:rsidRPr="00BA4A8F">
        <w:rPr>
          <w:rFonts w:ascii="Times New Roman" w:hAnsi="Times New Roman" w:cs="Times New Roman"/>
          <w:sz w:val="24"/>
          <w:szCs w:val="24"/>
        </w:rPr>
        <w:t xml:space="preserve"> </w:t>
      </w:r>
      <w:r w:rsidRPr="00BA4A8F">
        <w:rPr>
          <w:rFonts w:ascii="Times New Roman" w:hAnsi="Times New Roman" w:cs="Times New Roman"/>
          <w:i/>
          <w:sz w:val="24"/>
          <w:szCs w:val="24"/>
        </w:rPr>
        <w:t>∑</w:t>
      </w:r>
      <w:r w:rsidRPr="00BA4A8F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BA4A8F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r w:rsidRPr="00BA4A8F">
        <w:rPr>
          <w:rFonts w:ascii="Times New Roman" w:hAnsi="Times New Roman" w:cs="Times New Roman"/>
          <w:i/>
          <w:sz w:val="24"/>
          <w:szCs w:val="24"/>
          <w:lang w:val="en-US"/>
        </w:rPr>
        <w:t>w</w:t>
      </w:r>
      <w:r w:rsidRPr="00BA4A8F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r w:rsidRPr="00BA4A8F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BA4A8F">
        <w:rPr>
          <w:rFonts w:ascii="Times New Roman" w:hAnsi="Times New Roman" w:cs="Times New Roman"/>
          <w:i/>
          <w:sz w:val="24"/>
          <w:szCs w:val="24"/>
        </w:rPr>
        <w:t xml:space="preserve">/ </w:t>
      </w:r>
      <w:r w:rsidRPr="00BA4A8F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BA4A8F">
        <w:rPr>
          <w:rFonts w:ascii="Times New Roman" w:hAnsi="Times New Roman" w:cs="Times New Roman"/>
          <w:sz w:val="24"/>
          <w:szCs w:val="24"/>
        </w:rPr>
        <w:t xml:space="preserve"> (А) и </w:t>
      </w:r>
      <w:r w:rsidRPr="00BA4A8F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BA4A8F">
        <w:rPr>
          <w:rFonts w:ascii="Times New Roman" w:hAnsi="Times New Roman" w:cs="Times New Roman"/>
          <w:i/>
          <w:sz w:val="24"/>
          <w:szCs w:val="24"/>
        </w:rPr>
        <w:t>/</w:t>
      </w:r>
      <w:r w:rsidRPr="00BA4A8F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BA4A8F">
        <w:rPr>
          <w:rFonts w:ascii="Times New Roman" w:hAnsi="Times New Roman" w:cs="Times New Roman"/>
          <w:sz w:val="24"/>
          <w:szCs w:val="24"/>
        </w:rPr>
        <w:t xml:space="preserve">; </w:t>
      </w:r>
      <w:r w:rsidRPr="00BA4A8F">
        <w:rPr>
          <w:rFonts w:ascii="Times New Roman" w:hAnsi="Times New Roman" w:cs="Times New Roman"/>
          <w:i/>
          <w:sz w:val="24"/>
          <w:szCs w:val="24"/>
          <w:lang w:val="en-US"/>
        </w:rPr>
        <w:t>l</w:t>
      </w:r>
      <w:r w:rsidRPr="00BA4A8F">
        <w:rPr>
          <w:rFonts w:ascii="Times New Roman" w:hAnsi="Times New Roman" w:cs="Times New Roman"/>
          <w:i/>
          <w:sz w:val="24"/>
          <w:szCs w:val="24"/>
        </w:rPr>
        <w:t>/</w:t>
      </w:r>
      <w:r w:rsidRPr="00BA4A8F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Pr="00BA4A8F">
        <w:rPr>
          <w:rFonts w:ascii="Times New Roman" w:hAnsi="Times New Roman" w:cs="Times New Roman"/>
          <w:sz w:val="24"/>
          <w:szCs w:val="24"/>
        </w:rPr>
        <w:t xml:space="preserve"> (Б) от энергетического класса землетрясений </w:t>
      </w:r>
      <w:r w:rsidRPr="00BA4A8F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BA4A8F">
        <w:rPr>
          <w:rFonts w:ascii="Times New Roman" w:hAnsi="Times New Roman" w:cs="Times New Roman"/>
          <w:sz w:val="24"/>
          <w:szCs w:val="24"/>
        </w:rPr>
        <w:t>.</w:t>
      </w:r>
    </w:p>
    <w:p w:rsidR="00076BEA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6BEA" w:rsidRPr="00136D39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6D39">
        <w:rPr>
          <w:rFonts w:ascii="Times New Roman" w:hAnsi="Times New Roman" w:cs="Times New Roman"/>
          <w:sz w:val="24"/>
          <w:szCs w:val="24"/>
        </w:rPr>
        <w:t xml:space="preserve">Картина и некоторые выводы существенно изменяются, когда появляется возможность учитывать не все разломы, а только их активизированные на рассматриваемые интервалы времени разновидности. </w:t>
      </w:r>
      <w:r w:rsidRPr="00136D39">
        <w:rPr>
          <w:rFonts w:ascii="Times New Roman" w:hAnsi="Times New Roman" w:cs="Times New Roman"/>
          <w:bCs/>
          <w:sz w:val="24"/>
          <w:szCs w:val="24"/>
        </w:rPr>
        <w:t>Существует достаточное количество методов для оценки активности разломов [5, 7, 17]. В нашей работе для определения относительной активности разломов мы использовали количественный индекс их сейсмической активности (КИСА), предложенный С.И. Шерманом с соавторами [19].</w:t>
      </w:r>
      <w:r w:rsidRPr="00136D39">
        <w:rPr>
          <w:rFonts w:ascii="Times New Roman" w:hAnsi="Times New Roman" w:cs="Times New Roman"/>
          <w:sz w:val="24"/>
          <w:szCs w:val="24"/>
        </w:rPr>
        <w:t xml:space="preserve"> Под КИСА понимается число сейсмических событий </w:t>
      </w:r>
      <w:r w:rsidRPr="00136D39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136D39">
        <w:rPr>
          <w:rFonts w:ascii="Times New Roman" w:hAnsi="Times New Roman" w:cs="Times New Roman"/>
          <w:sz w:val="24"/>
          <w:szCs w:val="24"/>
        </w:rPr>
        <w:t xml:space="preserve"> определенных энергетических классов </w:t>
      </w:r>
      <w:r w:rsidRPr="00136D39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136D39">
        <w:rPr>
          <w:rFonts w:ascii="Times New Roman" w:hAnsi="Times New Roman" w:cs="Times New Roman"/>
          <w:sz w:val="24"/>
          <w:szCs w:val="24"/>
        </w:rPr>
        <w:t xml:space="preserve">, приходящихся на длину разлома </w:t>
      </w:r>
      <w:r w:rsidRPr="00136D39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136D39">
        <w:rPr>
          <w:rFonts w:ascii="Times New Roman" w:hAnsi="Times New Roman" w:cs="Times New Roman"/>
          <w:sz w:val="24"/>
          <w:szCs w:val="24"/>
        </w:rPr>
        <w:t>(км) при принятой ширине области его динамического влияния М</w:t>
      </w:r>
      <w:r w:rsidRPr="00136D3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136D39">
        <w:rPr>
          <w:rFonts w:ascii="Times New Roman" w:hAnsi="Times New Roman" w:cs="Times New Roman"/>
          <w:sz w:val="24"/>
          <w:szCs w:val="24"/>
        </w:rPr>
        <w:t xml:space="preserve">(км) за определенный промежуток времени </w:t>
      </w:r>
      <w:r w:rsidRPr="00136D39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136D39">
        <w:rPr>
          <w:rFonts w:ascii="Times New Roman" w:hAnsi="Times New Roman" w:cs="Times New Roman"/>
          <w:sz w:val="24"/>
          <w:szCs w:val="24"/>
        </w:rPr>
        <w:t xml:space="preserve"> (годы). КИСА рассчитывается по алгоритму: </w:t>
      </w:r>
    </w:p>
    <w:bookmarkStart w:id="0" w:name="_Toc174520354"/>
    <w:p w:rsidR="00076BEA" w:rsidRPr="00136D39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A4A8F">
        <w:rPr>
          <w:rFonts w:ascii="Times New Roman" w:hAnsi="Times New Roman" w:cs="Times New Roman"/>
          <w:position w:val="-28"/>
          <w:sz w:val="24"/>
          <w:szCs w:val="24"/>
        </w:rPr>
        <w:object w:dxaOrig="178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9pt;height:33.95pt" o:ole="">
            <v:imagedata r:id="rId8" o:title=""/>
          </v:shape>
          <o:OLEObject Type="Embed" ProgID="Equation.3" ShapeID="_x0000_i1025" DrawAspect="Content" ObjectID="_1550649001" r:id="rId9"/>
        </w:object>
      </w:r>
      <w:bookmarkEnd w:id="0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(5)</w:t>
      </w:r>
    </w:p>
    <w:p w:rsidR="00076BEA" w:rsidRPr="00136D39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6D39">
        <w:rPr>
          <w:rFonts w:ascii="Times New Roman" w:hAnsi="Times New Roman" w:cs="Times New Roman"/>
          <w:sz w:val="24"/>
          <w:szCs w:val="24"/>
        </w:rPr>
        <w:t>Параметр КИСА показывает выраженную в численной форме интенсивность активизации разломов. Задавая различные интервалы времени, можно проследить</w:t>
      </w:r>
      <w:r w:rsidRPr="00136D3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36D39">
        <w:rPr>
          <w:rFonts w:ascii="Times New Roman" w:hAnsi="Times New Roman" w:cs="Times New Roman"/>
          <w:sz w:val="24"/>
          <w:szCs w:val="24"/>
        </w:rPr>
        <w:t xml:space="preserve">изменения тектонической активности разломов за весьма короткие периоды – первые годы или даже месяцы. Сейчас нет других методов, кроме геодезических, которые имели бы столь кратковременный, практически мгновенный временной интервал оценки вариаций активизации разрывов. </w:t>
      </w:r>
    </w:p>
    <w:p w:rsidR="00076BEA" w:rsidRPr="00136D39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6D39">
        <w:rPr>
          <w:rFonts w:ascii="Times New Roman" w:hAnsi="Times New Roman" w:cs="Times New Roman"/>
          <w:sz w:val="24"/>
          <w:szCs w:val="24"/>
        </w:rPr>
        <w:t>Временные вариации плотности активных разломов определяют относительное изменение квазивязкости среды. При этом по площадям с различной активизацией разломов в реальном времени можно исследовать закономерности положений относительно сильных землетрясений в полях тектонической раздробленности литосферы. На решение этой задачи направлена вторая серия работ.</w:t>
      </w:r>
    </w:p>
    <w:p w:rsidR="00076BEA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6D39">
        <w:rPr>
          <w:rFonts w:ascii="Times New Roman" w:hAnsi="Times New Roman" w:cs="Times New Roman"/>
          <w:sz w:val="24"/>
          <w:szCs w:val="24"/>
        </w:rPr>
        <w:lastRenderedPageBreak/>
        <w:t xml:space="preserve">По предложенному в [19] алгоритму были рассчитаны вариации активизаций разломов по пятилетним интервалам с 1961 по 2000 гг. По полученным данным рассчитана плотность активных разломов для каждой пятилетки </w:t>
      </w:r>
      <w:r w:rsidRPr="00136D39">
        <w:rPr>
          <w:rFonts w:ascii="Times New Roman" w:hAnsi="Times New Roman" w:cs="Times New Roman"/>
          <w:bCs/>
          <w:sz w:val="24"/>
          <w:szCs w:val="24"/>
        </w:rPr>
        <w:t>на основе цифрового варианта уже упоминавшейся «Карты разломов юга Восточной Сибири» [4]. Расчеты велись по площадкам 0,5˚×0,5˚ (~56×32 км, что соответствует ~1792 км</w:t>
      </w:r>
      <w:r w:rsidRPr="00136D39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136D39">
        <w:rPr>
          <w:rFonts w:ascii="Times New Roman" w:hAnsi="Times New Roman" w:cs="Times New Roman"/>
          <w:bCs/>
          <w:sz w:val="24"/>
          <w:szCs w:val="24"/>
        </w:rPr>
        <w:t xml:space="preserve">). Дополнительно для этих же площадок </w:t>
      </w:r>
      <w:r w:rsidRPr="00136D39">
        <w:rPr>
          <w:rFonts w:ascii="Times New Roman" w:hAnsi="Times New Roman" w:cs="Times New Roman"/>
          <w:sz w:val="24"/>
          <w:szCs w:val="24"/>
        </w:rPr>
        <w:t>рассчитывалась общая плотность всех имеющихся разломов вне зависимости от степени их активизации. Всего на территории исследований разместилось более 730 площадок.</w:t>
      </w:r>
    </w:p>
    <w:p w:rsidR="00076BEA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136D39">
        <w:rPr>
          <w:rFonts w:ascii="Times New Roman" w:hAnsi="Times New Roman" w:cs="Times New Roman"/>
          <w:sz w:val="24"/>
          <w:szCs w:val="24"/>
        </w:rPr>
        <w:t>ля соответствующих пятилетних и</w:t>
      </w:r>
      <w:r>
        <w:rPr>
          <w:rFonts w:ascii="Times New Roman" w:hAnsi="Times New Roman" w:cs="Times New Roman"/>
          <w:sz w:val="24"/>
          <w:szCs w:val="24"/>
        </w:rPr>
        <w:t>нтервалов (1961-1965; 1966-1970</w:t>
      </w:r>
      <w:r w:rsidRPr="00136D39">
        <w:rPr>
          <w:rFonts w:ascii="Times New Roman" w:hAnsi="Times New Roman" w:cs="Times New Roman"/>
          <w:sz w:val="24"/>
          <w:szCs w:val="24"/>
        </w:rPr>
        <w:t xml:space="preserve"> и т.д. включительно до </w:t>
      </w:r>
      <w:smartTag w:uri="urn:schemas-microsoft-com:office:smarttags" w:element="metricconverter">
        <w:smartTagPr>
          <w:attr w:name="ProductID" w:val="2000 г"/>
        </w:smartTagPr>
        <w:r w:rsidRPr="00136D39">
          <w:rPr>
            <w:rFonts w:ascii="Times New Roman" w:hAnsi="Times New Roman" w:cs="Times New Roman"/>
            <w:sz w:val="24"/>
            <w:szCs w:val="24"/>
          </w:rPr>
          <w:t>2000 г</w:t>
        </w:r>
      </w:smartTag>
      <w:r w:rsidRPr="00136D39">
        <w:rPr>
          <w:rFonts w:ascii="Times New Roman" w:hAnsi="Times New Roman" w:cs="Times New Roman"/>
          <w:sz w:val="24"/>
          <w:szCs w:val="24"/>
        </w:rPr>
        <w:t xml:space="preserve">.) построены карты плотности активных разломов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136D39">
        <w:rPr>
          <w:rFonts w:ascii="Times New Roman" w:hAnsi="Times New Roman" w:cs="Times New Roman"/>
          <w:sz w:val="24"/>
          <w:szCs w:val="24"/>
        </w:rPr>
        <w:t>рис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36D39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136D3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76BEA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6BEA" w:rsidRPr="00136D39" w:rsidRDefault="00076BEA" w:rsidP="00076BEA">
      <w:pPr>
        <w:tabs>
          <w:tab w:val="left" w:pos="4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A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52747B" wp14:editId="144B6DE0">
            <wp:extent cx="5940425" cy="4497509"/>
            <wp:effectExtent l="0" t="0" r="3175" b="0"/>
            <wp:docPr id="15" name="Рисунок 15" descr="D:\18НАУЧНАЯ РАБОТА\01СТАТЬИ\2017\ТРУДЫ\Шерман Рукописи по темам\ТЕМА 5\[368] Геология, поиски и разведка рудных месторождений, 2007, Вып.5(31)\Шерман и др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D:\18НАУЧНАЯ РАБОТА\01СТАТЬИ\2017\ТРУДЫ\Шерман Рукописи по темам\ТЕМА 5\[368] Геология, поиски и разведка рудных месторождений, 2007, Вып.5(31)\Шерман и др 3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BEA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6BEA" w:rsidRPr="00BA4A8F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4A8F">
        <w:rPr>
          <w:rFonts w:ascii="Times New Roman" w:hAnsi="Times New Roman" w:cs="Times New Roman"/>
          <w:sz w:val="24"/>
          <w:szCs w:val="24"/>
        </w:rPr>
        <w:t>Рис. 3. Карты плотности активных разломов Байкальской рифтовой системы по пятилетним временны́м интервалам.</w:t>
      </w:r>
    </w:p>
    <w:p w:rsidR="00076BEA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6BEA" w:rsidRPr="00136D39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6D39">
        <w:rPr>
          <w:rFonts w:ascii="Times New Roman" w:hAnsi="Times New Roman" w:cs="Times New Roman"/>
          <w:sz w:val="24"/>
          <w:szCs w:val="24"/>
        </w:rPr>
        <w:t xml:space="preserve">Даже визуально видно, что плотность активных разломов изменяется в соответствии с временными интервалами, хотя места в целом повышенных значений плотности активных разломов приходятся примерно на одни и те же участки. На базе этих карт по площадкам исследованы </w:t>
      </w:r>
      <w:r w:rsidRPr="00136D39">
        <w:rPr>
          <w:rFonts w:ascii="Times New Roman" w:hAnsi="Times New Roman" w:cs="Times New Roman"/>
          <w:bCs/>
          <w:sz w:val="24"/>
          <w:szCs w:val="24"/>
        </w:rPr>
        <w:t xml:space="preserve">вариации плотности активных разломов по линиям профилей, для сечений которых снимались соответствующие значения плотностей активных разломов по пятилетним интервалам. Четыре профиля проведены вкрест простирания БРС и один – вдоль нее. Анализ графиков, построенных по этим профилям, подтвердил изменение плотности активных разломов из года в год. По сечениям вкрест БРС значения плотности активных среди основной массы разломов довольно сильно варьируют. Это говорит о возможности </w:t>
      </w:r>
      <w:r w:rsidRPr="00136D39">
        <w:rPr>
          <w:rFonts w:ascii="Times New Roman" w:hAnsi="Times New Roman" w:cs="Times New Roman"/>
          <w:sz w:val="24"/>
          <w:szCs w:val="24"/>
        </w:rPr>
        <w:t>различной интенсивности энергетических импульсов, соответственно воздействующих на разломы и вызывающих их различную активизацию на одних и тех же площадях изученной территории в реальном времени. М</w:t>
      </w:r>
      <w:r w:rsidRPr="00136D39">
        <w:rPr>
          <w:rFonts w:ascii="Times New Roman" w:hAnsi="Times New Roman" w:cs="Times New Roman"/>
          <w:bCs/>
          <w:sz w:val="24"/>
          <w:szCs w:val="24"/>
        </w:rPr>
        <w:t xml:space="preserve">еста экстремумов графиков </w:t>
      </w:r>
      <w:r w:rsidRPr="00136D39">
        <w:rPr>
          <w:rFonts w:ascii="Times New Roman" w:hAnsi="Times New Roman" w:cs="Times New Roman"/>
          <w:bCs/>
          <w:sz w:val="24"/>
          <w:szCs w:val="24"/>
        </w:rPr>
        <w:lastRenderedPageBreak/>
        <w:t>приходятся на одни и те же площадки. При этом в единичных случаях имеются площадки, на которых активизация из года в год остается постоянной, а, следовательно, и плотность активных разломов в этих площадках неизменна. Пятый профиль, расположенный вдоль простирания БРС, сильно отличается от предыдущих по интерпретации данных. Он характеризуется синхронными изменениями плотности активных разломов, а ее вариации вдоль этого сечения незначительны. Скорее всего, это объясняется тем, что профиль проходит по оси зоны современной деструкции литосферы [22], которая постоянно находится в активном состоянии. Для сопоставления данных по разным площадкам и годам осреднения изучены процентные соотношения активизированных разломов к их общей массе. Установлено, что количество активизированных разломов от их общей массы изменяется. Пространственно намечается тенденция уменьшения количества активизированных разломов по отношению к их общей массе при удалении от оси зоны современной деструкции литосферы.</w:t>
      </w:r>
    </w:p>
    <w:p w:rsidR="00076BEA" w:rsidRPr="00136D39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6D39">
        <w:rPr>
          <w:rFonts w:ascii="Times New Roman" w:hAnsi="Times New Roman" w:cs="Times New Roman"/>
          <w:bCs/>
          <w:sz w:val="24"/>
          <w:szCs w:val="24"/>
        </w:rPr>
        <w:t>Наиболее важно было исследовать временные изменения плотности активных разломов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36D39">
        <w:rPr>
          <w:rFonts w:ascii="Times New Roman" w:hAnsi="Times New Roman" w:cs="Times New Roman"/>
          <w:bCs/>
          <w:sz w:val="24"/>
          <w:szCs w:val="24"/>
        </w:rPr>
        <w:t>(таблица) и энергетических классов возникающих землетрясений. Для этого в</w:t>
      </w:r>
      <w:r w:rsidRPr="00136D39">
        <w:rPr>
          <w:rFonts w:ascii="Times New Roman" w:hAnsi="Times New Roman" w:cs="Times New Roman"/>
          <w:sz w:val="24"/>
          <w:szCs w:val="24"/>
        </w:rPr>
        <w:t xml:space="preserve"> площадках, в границах которых зафиксированы землетрясения с К ≥ 14, снимались </w:t>
      </w:r>
      <w:r w:rsidRPr="00136D39">
        <w:rPr>
          <w:rFonts w:ascii="Times New Roman" w:hAnsi="Times New Roman" w:cs="Times New Roman"/>
          <w:bCs/>
          <w:sz w:val="24"/>
          <w:szCs w:val="24"/>
        </w:rPr>
        <w:t>значения плотности активных разломов</w:t>
      </w:r>
      <w:r w:rsidRPr="00136D39">
        <w:rPr>
          <w:rFonts w:ascii="Times New Roman" w:hAnsi="Times New Roman" w:cs="Times New Roman"/>
          <w:sz w:val="24"/>
          <w:szCs w:val="24"/>
        </w:rPr>
        <w:t>. По многочисленным группам данных п</w:t>
      </w:r>
      <w:r w:rsidRPr="00136D39">
        <w:rPr>
          <w:rFonts w:ascii="Times New Roman" w:hAnsi="Times New Roman" w:cs="Times New Roman"/>
          <w:bCs/>
          <w:sz w:val="24"/>
          <w:szCs w:val="24"/>
        </w:rPr>
        <w:t xml:space="preserve">остроены графики зависимости энергетических классов землетрясений от общей плотности разломов и от плотности активных разломов, представленные на рис. 4. Из графиков видно, что с уменьшением плотности активных разломов, т.е. с увеличением квазивязкости земной коры увеличивается энергетический класс зафиксированных в соответствующий временной период землетрясений. Классы землетрясений как функции плотностей характеризуется обратной зависимостью с коэффициентами корреляции -0.47 для общей плотности разломов и от -0.43 до -0.63 для массы активизированных разрывов. </w:t>
      </w:r>
    </w:p>
    <w:p w:rsidR="00076BEA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6BEA" w:rsidRPr="00136D39" w:rsidRDefault="00076BEA" w:rsidP="00076BEA">
      <w:pPr>
        <w:tabs>
          <w:tab w:val="left" w:pos="4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36D39">
        <w:rPr>
          <w:rFonts w:ascii="Times New Roman" w:hAnsi="Times New Roman" w:cs="Times New Roman"/>
          <w:sz w:val="24"/>
          <w:szCs w:val="24"/>
        </w:rPr>
        <w:t>Таблица</w:t>
      </w:r>
    </w:p>
    <w:p w:rsidR="00076BEA" w:rsidRDefault="00076BEA" w:rsidP="00076BEA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36D39">
        <w:rPr>
          <w:rFonts w:ascii="Times New Roman" w:hAnsi="Times New Roman" w:cs="Times New Roman"/>
          <w:sz w:val="24"/>
          <w:szCs w:val="24"/>
        </w:rPr>
        <w:t>Временные вариации плотности активных разломов и их процентные соотношения к общей плотности разломов</w:t>
      </w:r>
    </w:p>
    <w:tbl>
      <w:tblPr>
        <w:tblStyle w:val="1"/>
        <w:tblW w:w="9181" w:type="dxa"/>
        <w:jc w:val="center"/>
        <w:tblLayout w:type="fixed"/>
        <w:tblLook w:val="01E0" w:firstRow="1" w:lastRow="1" w:firstColumn="1" w:lastColumn="1" w:noHBand="0" w:noVBand="0"/>
      </w:tblPr>
      <w:tblGrid>
        <w:gridCol w:w="622"/>
        <w:gridCol w:w="714"/>
        <w:gridCol w:w="642"/>
        <w:gridCol w:w="698"/>
        <w:gridCol w:w="1124"/>
        <w:gridCol w:w="701"/>
        <w:gridCol w:w="500"/>
        <w:gridCol w:w="500"/>
        <w:gridCol w:w="482"/>
        <w:gridCol w:w="500"/>
        <w:gridCol w:w="500"/>
        <w:gridCol w:w="500"/>
        <w:gridCol w:w="500"/>
        <w:gridCol w:w="500"/>
        <w:gridCol w:w="698"/>
      </w:tblGrid>
      <w:tr w:rsidR="00076BEA" w:rsidRPr="00E405F2" w:rsidTr="004E7283">
        <w:trPr>
          <w:trHeight w:val="960"/>
          <w:jc w:val="center"/>
        </w:trPr>
        <w:tc>
          <w:tcPr>
            <w:tcW w:w="622" w:type="dxa"/>
            <w:vMerge w:val="restart"/>
            <w:textDirection w:val="btLr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№№ площадки</w:t>
            </w:r>
          </w:p>
        </w:tc>
        <w:tc>
          <w:tcPr>
            <w:tcW w:w="714" w:type="dxa"/>
            <w:vMerge w:val="restart"/>
            <w:textDirection w:val="btLr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Классы землетрясений</w:t>
            </w:r>
          </w:p>
        </w:tc>
        <w:tc>
          <w:tcPr>
            <w:tcW w:w="642" w:type="dxa"/>
            <w:vMerge w:val="restart"/>
            <w:textDirection w:val="btLr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Годы  землетрясений</w:t>
            </w:r>
          </w:p>
        </w:tc>
        <w:tc>
          <w:tcPr>
            <w:tcW w:w="698" w:type="dxa"/>
            <w:vMerge w:val="restart"/>
            <w:textDirection w:val="btLr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 xml:space="preserve">Общая  плотность разломов (×10 </w:t>
            </w:r>
            <w:smartTag w:uri="urn:schemas-microsoft-com:office:smarttags" w:element="metricconverter">
              <w:smartTagPr>
                <w:attr w:name="ProductID" w:val="-4 км"/>
              </w:smartTagPr>
              <w:r w:rsidRPr="00E405F2">
                <w:rPr>
                  <w:vertAlign w:val="superscript"/>
                </w:rPr>
                <w:t>-4</w:t>
              </w:r>
              <w:r w:rsidRPr="00E405F2">
                <w:t xml:space="preserve"> км</w:t>
              </w:r>
            </w:smartTag>
            <w:r w:rsidRPr="00E405F2">
              <w:rPr>
                <w:vertAlign w:val="superscript"/>
              </w:rPr>
              <w:t xml:space="preserve"> -2</w:t>
            </w:r>
            <w:r w:rsidRPr="00E405F2">
              <w:t>)</w:t>
            </w:r>
          </w:p>
        </w:tc>
        <w:tc>
          <w:tcPr>
            <w:tcW w:w="1124" w:type="dxa"/>
            <w:vMerge w:val="restart"/>
            <w:textDirection w:val="btLr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Среднее значение плотности активных разломов</w:t>
            </w:r>
          </w:p>
          <w:p w:rsidR="00076BEA" w:rsidRPr="00E405F2" w:rsidRDefault="00076BEA" w:rsidP="004E7283">
            <w:pPr>
              <w:jc w:val="center"/>
            </w:pPr>
            <w:r w:rsidRPr="00E405F2">
              <w:t xml:space="preserve"> (×10 </w:t>
            </w:r>
            <w:smartTag w:uri="urn:schemas-microsoft-com:office:smarttags" w:element="metricconverter">
              <w:smartTagPr>
                <w:attr w:name="ProductID" w:val="-4 км"/>
              </w:smartTagPr>
              <w:r w:rsidRPr="00E405F2">
                <w:rPr>
                  <w:vertAlign w:val="superscript"/>
                </w:rPr>
                <w:t>-4</w:t>
              </w:r>
              <w:r w:rsidRPr="00E405F2">
                <w:t xml:space="preserve"> км</w:t>
              </w:r>
            </w:smartTag>
            <w:r w:rsidRPr="00E405F2">
              <w:rPr>
                <w:vertAlign w:val="superscript"/>
              </w:rPr>
              <w:t xml:space="preserve"> -2</w:t>
            </w:r>
            <w:r w:rsidRPr="00E405F2">
              <w:t>)</w:t>
            </w:r>
          </w:p>
        </w:tc>
        <w:tc>
          <w:tcPr>
            <w:tcW w:w="701" w:type="dxa"/>
            <w:vMerge w:val="restart"/>
            <w:textDirection w:val="btLr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Доверительный интервал  (</w:t>
            </w:r>
            <w:r w:rsidRPr="00E405F2">
              <w:rPr>
                <w:lang w:val="en-US"/>
              </w:rPr>
              <w:t>±</w:t>
            </w:r>
            <w:r w:rsidRPr="00E405F2">
              <w:t xml:space="preserve"> </w:t>
            </w:r>
            <w:r w:rsidRPr="00E405F2">
              <w:rPr>
                <w:lang w:val="en-US"/>
              </w:rPr>
              <w:t>Δ</w:t>
            </w:r>
            <w:r w:rsidRPr="00E405F2">
              <w:t xml:space="preserve"> ×10 </w:t>
            </w:r>
            <w:r w:rsidRPr="00E405F2">
              <w:rPr>
                <w:vertAlign w:val="superscript"/>
              </w:rPr>
              <w:t>-4</w:t>
            </w:r>
            <w:r w:rsidRPr="00E405F2">
              <w:t>)</w:t>
            </w:r>
          </w:p>
        </w:tc>
        <w:tc>
          <w:tcPr>
            <w:tcW w:w="3982" w:type="dxa"/>
            <w:gridSpan w:val="8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 xml:space="preserve">Плотность активных разломов </w:t>
            </w:r>
          </w:p>
          <w:p w:rsidR="00076BEA" w:rsidRPr="00E405F2" w:rsidRDefault="00076BEA" w:rsidP="004E7283">
            <w:pPr>
              <w:jc w:val="center"/>
            </w:pPr>
            <w:r w:rsidRPr="00E405F2">
              <w:t xml:space="preserve">(×10 </w:t>
            </w:r>
            <w:smartTag w:uri="urn:schemas-microsoft-com:office:smarttags" w:element="metricconverter">
              <w:smartTagPr>
                <w:attr w:name="ProductID" w:val="-4 км"/>
              </w:smartTagPr>
              <w:r w:rsidRPr="00E405F2">
                <w:rPr>
                  <w:vertAlign w:val="superscript"/>
                </w:rPr>
                <w:t>-4</w:t>
              </w:r>
              <w:r w:rsidRPr="00E405F2">
                <w:t xml:space="preserve"> км</w:t>
              </w:r>
            </w:smartTag>
            <w:r w:rsidRPr="00E405F2">
              <w:rPr>
                <w:vertAlign w:val="superscript"/>
              </w:rPr>
              <w:t xml:space="preserve"> -2</w:t>
            </w:r>
            <w:r w:rsidRPr="00E405F2">
              <w:t>) в интервалах реального времени, годы</w:t>
            </w:r>
          </w:p>
        </w:tc>
        <w:tc>
          <w:tcPr>
            <w:tcW w:w="698" w:type="dxa"/>
            <w:vMerge w:val="restart"/>
            <w:textDirection w:val="btLr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Средний процент активных разломов, %</w:t>
            </w:r>
          </w:p>
        </w:tc>
      </w:tr>
      <w:tr w:rsidR="00076BEA" w:rsidRPr="00E405F2" w:rsidTr="004E7283">
        <w:trPr>
          <w:cantSplit/>
          <w:trHeight w:val="1181"/>
          <w:jc w:val="center"/>
        </w:trPr>
        <w:tc>
          <w:tcPr>
            <w:tcW w:w="622" w:type="dxa"/>
            <w:vMerge/>
            <w:textDirection w:val="btLr"/>
            <w:vAlign w:val="center"/>
          </w:tcPr>
          <w:p w:rsidR="00076BEA" w:rsidRPr="00E405F2" w:rsidRDefault="00076BEA" w:rsidP="004E7283">
            <w:pPr>
              <w:jc w:val="center"/>
            </w:pPr>
          </w:p>
        </w:tc>
        <w:tc>
          <w:tcPr>
            <w:tcW w:w="714" w:type="dxa"/>
            <w:vMerge/>
            <w:textDirection w:val="btLr"/>
            <w:vAlign w:val="center"/>
          </w:tcPr>
          <w:p w:rsidR="00076BEA" w:rsidRPr="00E405F2" w:rsidRDefault="00076BEA" w:rsidP="004E7283">
            <w:pPr>
              <w:jc w:val="center"/>
            </w:pPr>
          </w:p>
        </w:tc>
        <w:tc>
          <w:tcPr>
            <w:tcW w:w="642" w:type="dxa"/>
            <w:vMerge/>
            <w:textDirection w:val="btLr"/>
            <w:vAlign w:val="center"/>
          </w:tcPr>
          <w:p w:rsidR="00076BEA" w:rsidRPr="00E405F2" w:rsidRDefault="00076BEA" w:rsidP="004E7283">
            <w:pPr>
              <w:jc w:val="center"/>
            </w:pPr>
          </w:p>
        </w:tc>
        <w:tc>
          <w:tcPr>
            <w:tcW w:w="698" w:type="dxa"/>
            <w:vMerge/>
            <w:textDirection w:val="btLr"/>
            <w:vAlign w:val="center"/>
          </w:tcPr>
          <w:p w:rsidR="00076BEA" w:rsidRPr="00E405F2" w:rsidRDefault="00076BEA" w:rsidP="004E7283">
            <w:pPr>
              <w:jc w:val="center"/>
            </w:pPr>
          </w:p>
        </w:tc>
        <w:tc>
          <w:tcPr>
            <w:tcW w:w="1124" w:type="dxa"/>
            <w:vMerge/>
            <w:textDirection w:val="btLr"/>
            <w:vAlign w:val="center"/>
          </w:tcPr>
          <w:p w:rsidR="00076BEA" w:rsidRPr="00E405F2" w:rsidRDefault="00076BEA" w:rsidP="004E7283">
            <w:pPr>
              <w:jc w:val="center"/>
            </w:pPr>
          </w:p>
        </w:tc>
        <w:tc>
          <w:tcPr>
            <w:tcW w:w="701" w:type="dxa"/>
            <w:vMerge/>
            <w:textDirection w:val="btLr"/>
            <w:vAlign w:val="center"/>
          </w:tcPr>
          <w:p w:rsidR="00076BEA" w:rsidRPr="00E405F2" w:rsidRDefault="00076BEA" w:rsidP="004E7283">
            <w:pPr>
              <w:jc w:val="center"/>
            </w:pPr>
          </w:p>
        </w:tc>
        <w:tc>
          <w:tcPr>
            <w:tcW w:w="500" w:type="dxa"/>
            <w:textDirection w:val="btLr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1961-1965</w:t>
            </w:r>
          </w:p>
        </w:tc>
        <w:tc>
          <w:tcPr>
            <w:tcW w:w="500" w:type="dxa"/>
            <w:textDirection w:val="btLr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1966-1970</w:t>
            </w:r>
          </w:p>
        </w:tc>
        <w:tc>
          <w:tcPr>
            <w:tcW w:w="482" w:type="dxa"/>
            <w:textDirection w:val="btLr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1971-1975</w:t>
            </w:r>
          </w:p>
        </w:tc>
        <w:tc>
          <w:tcPr>
            <w:tcW w:w="500" w:type="dxa"/>
            <w:textDirection w:val="btLr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1976-1980</w:t>
            </w:r>
          </w:p>
        </w:tc>
        <w:tc>
          <w:tcPr>
            <w:tcW w:w="500" w:type="dxa"/>
            <w:textDirection w:val="btLr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1981-1985</w:t>
            </w:r>
          </w:p>
        </w:tc>
        <w:tc>
          <w:tcPr>
            <w:tcW w:w="500" w:type="dxa"/>
            <w:textDirection w:val="btLr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1986-1990</w:t>
            </w:r>
          </w:p>
        </w:tc>
        <w:tc>
          <w:tcPr>
            <w:tcW w:w="500" w:type="dxa"/>
            <w:textDirection w:val="btLr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1991-1995</w:t>
            </w:r>
          </w:p>
        </w:tc>
        <w:tc>
          <w:tcPr>
            <w:tcW w:w="500" w:type="dxa"/>
            <w:textDirection w:val="btLr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1996-2000</w:t>
            </w:r>
          </w:p>
        </w:tc>
        <w:tc>
          <w:tcPr>
            <w:tcW w:w="698" w:type="dxa"/>
            <w:vMerge/>
            <w:vAlign w:val="center"/>
          </w:tcPr>
          <w:p w:rsidR="00076BEA" w:rsidRPr="00E405F2" w:rsidRDefault="00076BEA" w:rsidP="004E7283">
            <w:pPr>
              <w:jc w:val="center"/>
            </w:pPr>
          </w:p>
        </w:tc>
      </w:tr>
      <w:tr w:rsidR="00076BEA" w:rsidRPr="00E405F2" w:rsidTr="004E7283">
        <w:trPr>
          <w:jc w:val="center"/>
        </w:trPr>
        <w:tc>
          <w:tcPr>
            <w:tcW w:w="62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71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16</w:t>
            </w:r>
          </w:p>
          <w:p w:rsidR="00076BEA" w:rsidRPr="00E405F2" w:rsidRDefault="00076BEA" w:rsidP="004E7283">
            <w:pPr>
              <w:jc w:val="center"/>
            </w:pPr>
            <w:r w:rsidRPr="00E405F2">
              <w:t>16,2</w:t>
            </w:r>
          </w:p>
        </w:tc>
        <w:tc>
          <w:tcPr>
            <w:tcW w:w="64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1991</w:t>
            </w:r>
          </w:p>
          <w:p w:rsidR="00076BEA" w:rsidRPr="00E405F2" w:rsidRDefault="00076BEA" w:rsidP="004E7283">
            <w:pPr>
              <w:jc w:val="center"/>
            </w:pPr>
            <w:r w:rsidRPr="00E405F2">
              <w:t>1991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112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701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3.8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0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48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0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50</w:t>
            </w:r>
          </w:p>
        </w:tc>
      </w:tr>
      <w:tr w:rsidR="00076BEA" w:rsidRPr="00E405F2" w:rsidTr="004E7283">
        <w:trPr>
          <w:jc w:val="center"/>
        </w:trPr>
        <w:tc>
          <w:tcPr>
            <w:tcW w:w="62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8</w:t>
            </w:r>
          </w:p>
        </w:tc>
        <w:tc>
          <w:tcPr>
            <w:tcW w:w="71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14</w:t>
            </w:r>
          </w:p>
        </w:tc>
        <w:tc>
          <w:tcPr>
            <w:tcW w:w="64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1974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112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10</w:t>
            </w:r>
          </w:p>
        </w:tc>
        <w:tc>
          <w:tcPr>
            <w:tcW w:w="701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2.4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48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88</w:t>
            </w:r>
          </w:p>
        </w:tc>
      </w:tr>
      <w:tr w:rsidR="00076BEA" w:rsidRPr="00E405F2" w:rsidTr="004E7283">
        <w:trPr>
          <w:jc w:val="center"/>
        </w:trPr>
        <w:tc>
          <w:tcPr>
            <w:tcW w:w="62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89</w:t>
            </w:r>
          </w:p>
        </w:tc>
        <w:tc>
          <w:tcPr>
            <w:tcW w:w="71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14</w:t>
            </w:r>
          </w:p>
        </w:tc>
        <w:tc>
          <w:tcPr>
            <w:tcW w:w="64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1962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39</w:t>
            </w:r>
          </w:p>
        </w:tc>
        <w:tc>
          <w:tcPr>
            <w:tcW w:w="112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24</w:t>
            </w:r>
          </w:p>
        </w:tc>
        <w:tc>
          <w:tcPr>
            <w:tcW w:w="701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4.5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28</w:t>
            </w:r>
          </w:p>
        </w:tc>
        <w:tc>
          <w:tcPr>
            <w:tcW w:w="48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28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22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22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28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28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61</w:t>
            </w:r>
          </w:p>
        </w:tc>
      </w:tr>
      <w:tr w:rsidR="00076BEA" w:rsidRPr="00E405F2" w:rsidTr="004E7283">
        <w:trPr>
          <w:jc w:val="center"/>
        </w:trPr>
        <w:tc>
          <w:tcPr>
            <w:tcW w:w="62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164</w:t>
            </w:r>
          </w:p>
        </w:tc>
        <w:tc>
          <w:tcPr>
            <w:tcW w:w="71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14</w:t>
            </w:r>
          </w:p>
        </w:tc>
        <w:tc>
          <w:tcPr>
            <w:tcW w:w="64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1989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112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701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1.8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48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38</w:t>
            </w:r>
          </w:p>
        </w:tc>
      </w:tr>
      <w:tr w:rsidR="00076BEA" w:rsidRPr="00E405F2" w:rsidTr="004E7283">
        <w:trPr>
          <w:jc w:val="center"/>
        </w:trPr>
        <w:tc>
          <w:tcPr>
            <w:tcW w:w="62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181</w:t>
            </w:r>
          </w:p>
        </w:tc>
        <w:tc>
          <w:tcPr>
            <w:tcW w:w="71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64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1967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112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5</w:t>
            </w:r>
          </w:p>
        </w:tc>
        <w:tc>
          <w:tcPr>
            <w:tcW w:w="701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1.8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0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48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88</w:t>
            </w:r>
          </w:p>
        </w:tc>
      </w:tr>
      <w:tr w:rsidR="00076BEA" w:rsidRPr="00E405F2" w:rsidTr="004E7283">
        <w:trPr>
          <w:jc w:val="center"/>
        </w:trPr>
        <w:tc>
          <w:tcPr>
            <w:tcW w:w="62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188</w:t>
            </w:r>
          </w:p>
        </w:tc>
        <w:tc>
          <w:tcPr>
            <w:tcW w:w="71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14</w:t>
            </w:r>
          </w:p>
        </w:tc>
        <w:tc>
          <w:tcPr>
            <w:tcW w:w="64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1995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39</w:t>
            </w:r>
          </w:p>
        </w:tc>
        <w:tc>
          <w:tcPr>
            <w:tcW w:w="112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24</w:t>
            </w:r>
          </w:p>
        </w:tc>
        <w:tc>
          <w:tcPr>
            <w:tcW w:w="701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5.4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22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22</w:t>
            </w:r>
          </w:p>
        </w:tc>
        <w:tc>
          <w:tcPr>
            <w:tcW w:w="48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22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22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33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33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22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63</w:t>
            </w:r>
          </w:p>
        </w:tc>
      </w:tr>
      <w:tr w:rsidR="00076BEA" w:rsidRPr="00E405F2" w:rsidTr="004E7283">
        <w:trPr>
          <w:jc w:val="center"/>
        </w:trPr>
        <w:tc>
          <w:tcPr>
            <w:tcW w:w="62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201</w:t>
            </w:r>
          </w:p>
        </w:tc>
        <w:tc>
          <w:tcPr>
            <w:tcW w:w="71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15</w:t>
            </w:r>
          </w:p>
          <w:p w:rsidR="00076BEA" w:rsidRPr="00E405F2" w:rsidRDefault="00076BEA" w:rsidP="004E7283">
            <w:pPr>
              <w:jc w:val="center"/>
            </w:pPr>
            <w:r w:rsidRPr="00E405F2">
              <w:t>14</w:t>
            </w:r>
          </w:p>
        </w:tc>
        <w:tc>
          <w:tcPr>
            <w:tcW w:w="64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1967</w:t>
            </w:r>
          </w:p>
          <w:p w:rsidR="00076BEA" w:rsidRPr="00E405F2" w:rsidRDefault="00076BEA" w:rsidP="004E7283">
            <w:pPr>
              <w:jc w:val="center"/>
            </w:pPr>
            <w:r w:rsidRPr="00E405F2">
              <w:t>1974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112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12</w:t>
            </w:r>
          </w:p>
        </w:tc>
        <w:tc>
          <w:tcPr>
            <w:tcW w:w="701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5.0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0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48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71</w:t>
            </w:r>
          </w:p>
        </w:tc>
      </w:tr>
      <w:tr w:rsidR="00076BEA" w:rsidRPr="00E405F2" w:rsidTr="004E7283">
        <w:trPr>
          <w:jc w:val="center"/>
        </w:trPr>
        <w:tc>
          <w:tcPr>
            <w:tcW w:w="62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268</w:t>
            </w:r>
          </w:p>
        </w:tc>
        <w:tc>
          <w:tcPr>
            <w:tcW w:w="71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14</w:t>
            </w:r>
          </w:p>
          <w:p w:rsidR="00076BEA" w:rsidRPr="00E405F2" w:rsidRDefault="00076BEA" w:rsidP="004E7283">
            <w:pPr>
              <w:jc w:val="center"/>
            </w:pPr>
            <w:r w:rsidRPr="00E405F2">
              <w:t>14,1</w:t>
            </w:r>
          </w:p>
          <w:p w:rsidR="00076BEA" w:rsidRPr="00E405F2" w:rsidRDefault="00076BEA" w:rsidP="004E7283">
            <w:pPr>
              <w:jc w:val="center"/>
            </w:pPr>
            <w:r w:rsidRPr="00E405F2">
              <w:t>15</w:t>
            </w:r>
          </w:p>
        </w:tc>
        <w:tc>
          <w:tcPr>
            <w:tcW w:w="64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1966</w:t>
            </w:r>
          </w:p>
          <w:p w:rsidR="00076BEA" w:rsidRPr="00E405F2" w:rsidRDefault="00076BEA" w:rsidP="004E7283">
            <w:pPr>
              <w:jc w:val="center"/>
            </w:pPr>
            <w:r w:rsidRPr="00E405F2">
              <w:t>1999</w:t>
            </w:r>
          </w:p>
          <w:p w:rsidR="00076BEA" w:rsidRPr="00E405F2" w:rsidRDefault="00076BEA" w:rsidP="004E7283">
            <w:pPr>
              <w:jc w:val="center"/>
            </w:pPr>
            <w:r w:rsidRPr="00E405F2">
              <w:t>1999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28</w:t>
            </w:r>
          </w:p>
        </w:tc>
        <w:tc>
          <w:tcPr>
            <w:tcW w:w="112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19</w:t>
            </w:r>
          </w:p>
        </w:tc>
        <w:tc>
          <w:tcPr>
            <w:tcW w:w="701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4.7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48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22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22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28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68</w:t>
            </w:r>
          </w:p>
        </w:tc>
      </w:tr>
      <w:tr w:rsidR="00076BEA" w:rsidRPr="00E405F2" w:rsidTr="004E7283">
        <w:trPr>
          <w:jc w:val="center"/>
        </w:trPr>
        <w:tc>
          <w:tcPr>
            <w:tcW w:w="62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285</w:t>
            </w:r>
          </w:p>
        </w:tc>
        <w:tc>
          <w:tcPr>
            <w:tcW w:w="71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15</w:t>
            </w:r>
          </w:p>
        </w:tc>
        <w:tc>
          <w:tcPr>
            <w:tcW w:w="64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1989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112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0.75</w:t>
            </w:r>
          </w:p>
        </w:tc>
        <w:tc>
          <w:tcPr>
            <w:tcW w:w="701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1.8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0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0</w:t>
            </w:r>
          </w:p>
        </w:tc>
        <w:tc>
          <w:tcPr>
            <w:tcW w:w="48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0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0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0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0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0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4</w:t>
            </w:r>
          </w:p>
        </w:tc>
      </w:tr>
      <w:tr w:rsidR="00076BEA" w:rsidRPr="00E405F2" w:rsidTr="004E7283">
        <w:trPr>
          <w:jc w:val="center"/>
        </w:trPr>
        <w:tc>
          <w:tcPr>
            <w:tcW w:w="62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308</w:t>
            </w:r>
          </w:p>
        </w:tc>
        <w:tc>
          <w:tcPr>
            <w:tcW w:w="71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14</w:t>
            </w:r>
          </w:p>
        </w:tc>
        <w:tc>
          <w:tcPr>
            <w:tcW w:w="64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1981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112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701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0.0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48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100</w:t>
            </w:r>
          </w:p>
        </w:tc>
      </w:tr>
      <w:tr w:rsidR="00076BEA" w:rsidRPr="00E405F2" w:rsidTr="004E7283">
        <w:trPr>
          <w:jc w:val="center"/>
        </w:trPr>
        <w:tc>
          <w:tcPr>
            <w:tcW w:w="62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329</w:t>
            </w:r>
          </w:p>
        </w:tc>
        <w:tc>
          <w:tcPr>
            <w:tcW w:w="71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14</w:t>
            </w:r>
          </w:p>
        </w:tc>
        <w:tc>
          <w:tcPr>
            <w:tcW w:w="64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1970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28</w:t>
            </w:r>
          </w:p>
        </w:tc>
        <w:tc>
          <w:tcPr>
            <w:tcW w:w="112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24</w:t>
            </w:r>
          </w:p>
        </w:tc>
        <w:tc>
          <w:tcPr>
            <w:tcW w:w="701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2.6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28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22</w:t>
            </w:r>
          </w:p>
        </w:tc>
        <w:tc>
          <w:tcPr>
            <w:tcW w:w="48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22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22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28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22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22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28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88</w:t>
            </w:r>
          </w:p>
        </w:tc>
      </w:tr>
      <w:tr w:rsidR="00076BEA" w:rsidRPr="00E405F2" w:rsidTr="004E7283">
        <w:trPr>
          <w:jc w:val="center"/>
        </w:trPr>
        <w:tc>
          <w:tcPr>
            <w:tcW w:w="62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390</w:t>
            </w:r>
          </w:p>
        </w:tc>
        <w:tc>
          <w:tcPr>
            <w:tcW w:w="71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14</w:t>
            </w:r>
          </w:p>
        </w:tc>
        <w:tc>
          <w:tcPr>
            <w:tcW w:w="64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1972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112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10</w:t>
            </w:r>
          </w:p>
        </w:tc>
        <w:tc>
          <w:tcPr>
            <w:tcW w:w="701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1.8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48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94</w:t>
            </w:r>
          </w:p>
        </w:tc>
      </w:tr>
      <w:tr w:rsidR="00076BEA" w:rsidRPr="00E405F2" w:rsidTr="004E7283">
        <w:trPr>
          <w:jc w:val="center"/>
        </w:trPr>
        <w:tc>
          <w:tcPr>
            <w:tcW w:w="62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432</w:t>
            </w:r>
          </w:p>
        </w:tc>
        <w:tc>
          <w:tcPr>
            <w:tcW w:w="71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14</w:t>
            </w:r>
          </w:p>
          <w:p w:rsidR="00076BEA" w:rsidRPr="00E405F2" w:rsidRDefault="00076BEA" w:rsidP="004E7283">
            <w:pPr>
              <w:jc w:val="center"/>
            </w:pPr>
            <w:r w:rsidRPr="00E405F2">
              <w:t>14</w:t>
            </w:r>
          </w:p>
        </w:tc>
        <w:tc>
          <w:tcPr>
            <w:tcW w:w="64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1961</w:t>
            </w:r>
          </w:p>
          <w:p w:rsidR="00076BEA" w:rsidRPr="00E405F2" w:rsidRDefault="00076BEA" w:rsidP="004E7283">
            <w:pPr>
              <w:jc w:val="center"/>
            </w:pPr>
            <w:r w:rsidRPr="00E405F2">
              <w:t>1981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112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701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0.0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48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100</w:t>
            </w:r>
          </w:p>
        </w:tc>
      </w:tr>
      <w:tr w:rsidR="00076BEA" w:rsidRPr="00E405F2" w:rsidTr="004E7283">
        <w:trPr>
          <w:jc w:val="center"/>
        </w:trPr>
        <w:tc>
          <w:tcPr>
            <w:tcW w:w="62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496</w:t>
            </w:r>
          </w:p>
        </w:tc>
        <w:tc>
          <w:tcPr>
            <w:tcW w:w="71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14,1</w:t>
            </w:r>
          </w:p>
          <w:p w:rsidR="00076BEA" w:rsidRPr="00E405F2" w:rsidRDefault="00076BEA" w:rsidP="004E7283">
            <w:pPr>
              <w:jc w:val="center"/>
            </w:pPr>
            <w:r w:rsidRPr="00E405F2">
              <w:lastRenderedPageBreak/>
              <w:t>14,8</w:t>
            </w:r>
          </w:p>
        </w:tc>
        <w:tc>
          <w:tcPr>
            <w:tcW w:w="64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lastRenderedPageBreak/>
              <w:t>1990</w:t>
            </w:r>
          </w:p>
          <w:p w:rsidR="00076BEA" w:rsidRPr="00E405F2" w:rsidRDefault="00076BEA" w:rsidP="004E7283">
            <w:pPr>
              <w:jc w:val="center"/>
            </w:pPr>
            <w:r w:rsidRPr="00E405F2">
              <w:lastRenderedPageBreak/>
              <w:t>1999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lastRenderedPageBreak/>
              <w:t>11</w:t>
            </w:r>
          </w:p>
        </w:tc>
        <w:tc>
          <w:tcPr>
            <w:tcW w:w="112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701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0.0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48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100</w:t>
            </w:r>
          </w:p>
        </w:tc>
      </w:tr>
      <w:tr w:rsidR="00076BEA" w:rsidRPr="00E405F2" w:rsidTr="004E7283">
        <w:trPr>
          <w:jc w:val="center"/>
        </w:trPr>
        <w:tc>
          <w:tcPr>
            <w:tcW w:w="62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536</w:t>
            </w:r>
          </w:p>
        </w:tc>
        <w:tc>
          <w:tcPr>
            <w:tcW w:w="714" w:type="dxa"/>
            <w:vMerge w:val="restart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14</w:t>
            </w:r>
          </w:p>
        </w:tc>
        <w:tc>
          <w:tcPr>
            <w:tcW w:w="642" w:type="dxa"/>
            <w:vMerge w:val="restart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1968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112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701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0.0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48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100</w:t>
            </w:r>
          </w:p>
        </w:tc>
      </w:tr>
      <w:tr w:rsidR="00076BEA" w:rsidRPr="00E405F2" w:rsidTr="004E7283">
        <w:trPr>
          <w:jc w:val="center"/>
        </w:trPr>
        <w:tc>
          <w:tcPr>
            <w:tcW w:w="62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537</w:t>
            </w:r>
          </w:p>
        </w:tc>
        <w:tc>
          <w:tcPr>
            <w:tcW w:w="714" w:type="dxa"/>
            <w:vMerge/>
            <w:vAlign w:val="center"/>
          </w:tcPr>
          <w:p w:rsidR="00076BEA" w:rsidRPr="00E405F2" w:rsidRDefault="00076BEA" w:rsidP="004E7283">
            <w:pPr>
              <w:jc w:val="center"/>
            </w:pPr>
          </w:p>
        </w:tc>
        <w:tc>
          <w:tcPr>
            <w:tcW w:w="642" w:type="dxa"/>
            <w:vMerge/>
            <w:vAlign w:val="center"/>
          </w:tcPr>
          <w:p w:rsidR="00076BEA" w:rsidRPr="00E405F2" w:rsidRDefault="00076BEA" w:rsidP="004E7283">
            <w:pPr>
              <w:jc w:val="center"/>
            </w:pP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39</w:t>
            </w:r>
          </w:p>
        </w:tc>
        <w:tc>
          <w:tcPr>
            <w:tcW w:w="112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24</w:t>
            </w:r>
          </w:p>
        </w:tc>
        <w:tc>
          <w:tcPr>
            <w:tcW w:w="701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2.4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28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22</w:t>
            </w:r>
          </w:p>
        </w:tc>
        <w:tc>
          <w:tcPr>
            <w:tcW w:w="48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22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22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22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22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28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22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61</w:t>
            </w:r>
          </w:p>
        </w:tc>
      </w:tr>
      <w:tr w:rsidR="00076BEA" w:rsidRPr="00E405F2" w:rsidTr="004E7283">
        <w:trPr>
          <w:jc w:val="center"/>
        </w:trPr>
        <w:tc>
          <w:tcPr>
            <w:tcW w:w="62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557</w:t>
            </w:r>
          </w:p>
        </w:tc>
        <w:tc>
          <w:tcPr>
            <w:tcW w:w="71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14</w:t>
            </w:r>
          </w:p>
        </w:tc>
        <w:tc>
          <w:tcPr>
            <w:tcW w:w="64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1976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33</w:t>
            </w:r>
          </w:p>
        </w:tc>
        <w:tc>
          <w:tcPr>
            <w:tcW w:w="112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24</w:t>
            </w:r>
          </w:p>
        </w:tc>
        <w:tc>
          <w:tcPr>
            <w:tcW w:w="701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7.1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28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28</w:t>
            </w:r>
          </w:p>
        </w:tc>
        <w:tc>
          <w:tcPr>
            <w:tcW w:w="48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22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28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28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22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28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71</w:t>
            </w:r>
          </w:p>
        </w:tc>
      </w:tr>
      <w:tr w:rsidR="00076BEA" w:rsidRPr="00E405F2" w:rsidTr="004E7283">
        <w:trPr>
          <w:jc w:val="center"/>
        </w:trPr>
        <w:tc>
          <w:tcPr>
            <w:tcW w:w="62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616</w:t>
            </w:r>
          </w:p>
        </w:tc>
        <w:tc>
          <w:tcPr>
            <w:tcW w:w="71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15</w:t>
            </w:r>
          </w:p>
        </w:tc>
        <w:tc>
          <w:tcPr>
            <w:tcW w:w="64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1962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33</w:t>
            </w:r>
          </w:p>
        </w:tc>
        <w:tc>
          <w:tcPr>
            <w:tcW w:w="112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24</w:t>
            </w:r>
          </w:p>
        </w:tc>
        <w:tc>
          <w:tcPr>
            <w:tcW w:w="701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5.4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33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28</w:t>
            </w:r>
          </w:p>
        </w:tc>
        <w:tc>
          <w:tcPr>
            <w:tcW w:w="48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28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28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22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22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73</w:t>
            </w:r>
          </w:p>
        </w:tc>
      </w:tr>
      <w:tr w:rsidR="00076BEA" w:rsidRPr="00E405F2" w:rsidTr="004E7283">
        <w:trPr>
          <w:jc w:val="center"/>
        </w:trPr>
        <w:tc>
          <w:tcPr>
            <w:tcW w:w="62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677</w:t>
            </w:r>
          </w:p>
        </w:tc>
        <w:tc>
          <w:tcPr>
            <w:tcW w:w="71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15,1</w:t>
            </w:r>
          </w:p>
        </w:tc>
        <w:tc>
          <w:tcPr>
            <w:tcW w:w="64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1995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33</w:t>
            </w:r>
          </w:p>
        </w:tc>
        <w:tc>
          <w:tcPr>
            <w:tcW w:w="112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20</w:t>
            </w:r>
          </w:p>
        </w:tc>
        <w:tc>
          <w:tcPr>
            <w:tcW w:w="701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5.4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28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48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22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28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58</w:t>
            </w:r>
          </w:p>
        </w:tc>
      </w:tr>
      <w:tr w:rsidR="00076BEA" w:rsidRPr="00E405F2" w:rsidTr="004E7283">
        <w:trPr>
          <w:jc w:val="center"/>
        </w:trPr>
        <w:tc>
          <w:tcPr>
            <w:tcW w:w="62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717</w:t>
            </w:r>
          </w:p>
        </w:tc>
        <w:tc>
          <w:tcPr>
            <w:tcW w:w="71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14</w:t>
            </w:r>
          </w:p>
        </w:tc>
        <w:tc>
          <w:tcPr>
            <w:tcW w:w="64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1968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112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10</w:t>
            </w:r>
          </w:p>
        </w:tc>
        <w:tc>
          <w:tcPr>
            <w:tcW w:w="701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3.6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48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58</w:t>
            </w:r>
          </w:p>
        </w:tc>
      </w:tr>
      <w:tr w:rsidR="00076BEA" w:rsidRPr="00E405F2" w:rsidTr="004E7283">
        <w:trPr>
          <w:jc w:val="center"/>
        </w:trPr>
        <w:tc>
          <w:tcPr>
            <w:tcW w:w="62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797</w:t>
            </w:r>
          </w:p>
        </w:tc>
        <w:tc>
          <w:tcPr>
            <w:tcW w:w="71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14</w:t>
            </w:r>
          </w:p>
          <w:p w:rsidR="00076BEA" w:rsidRPr="00E405F2" w:rsidRDefault="00076BEA" w:rsidP="004E7283">
            <w:pPr>
              <w:jc w:val="center"/>
            </w:pPr>
            <w:r w:rsidRPr="00E405F2">
              <w:t>14</w:t>
            </w:r>
          </w:p>
        </w:tc>
        <w:tc>
          <w:tcPr>
            <w:tcW w:w="64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1974</w:t>
            </w:r>
          </w:p>
          <w:p w:rsidR="00076BEA" w:rsidRPr="00E405F2" w:rsidRDefault="00076BEA" w:rsidP="004E7283">
            <w:pPr>
              <w:jc w:val="center"/>
            </w:pPr>
            <w:r w:rsidRPr="00E405F2">
              <w:t>1981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112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9</w:t>
            </w:r>
          </w:p>
        </w:tc>
        <w:tc>
          <w:tcPr>
            <w:tcW w:w="701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2.6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48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81</w:t>
            </w:r>
          </w:p>
        </w:tc>
      </w:tr>
      <w:tr w:rsidR="00076BEA" w:rsidRPr="00E405F2" w:rsidTr="004E7283">
        <w:trPr>
          <w:jc w:val="center"/>
        </w:trPr>
        <w:tc>
          <w:tcPr>
            <w:tcW w:w="62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798</w:t>
            </w:r>
          </w:p>
        </w:tc>
        <w:tc>
          <w:tcPr>
            <w:tcW w:w="71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14</w:t>
            </w:r>
          </w:p>
        </w:tc>
        <w:tc>
          <w:tcPr>
            <w:tcW w:w="64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1970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22</w:t>
            </w:r>
          </w:p>
        </w:tc>
        <w:tc>
          <w:tcPr>
            <w:tcW w:w="112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10</w:t>
            </w:r>
          </w:p>
        </w:tc>
        <w:tc>
          <w:tcPr>
            <w:tcW w:w="701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4.5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48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0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44</w:t>
            </w:r>
          </w:p>
        </w:tc>
      </w:tr>
      <w:tr w:rsidR="00076BEA" w:rsidRPr="00E405F2" w:rsidTr="004E7283">
        <w:trPr>
          <w:jc w:val="center"/>
        </w:trPr>
        <w:tc>
          <w:tcPr>
            <w:tcW w:w="62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818</w:t>
            </w:r>
          </w:p>
        </w:tc>
        <w:tc>
          <w:tcPr>
            <w:tcW w:w="71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16,1</w:t>
            </w:r>
          </w:p>
          <w:p w:rsidR="00076BEA" w:rsidRPr="00E405F2" w:rsidRDefault="00076BEA" w:rsidP="004E7283">
            <w:pPr>
              <w:jc w:val="center"/>
            </w:pPr>
            <w:r w:rsidRPr="00E405F2">
              <w:t>14,7</w:t>
            </w:r>
          </w:p>
        </w:tc>
        <w:tc>
          <w:tcPr>
            <w:tcW w:w="64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1994</w:t>
            </w:r>
          </w:p>
          <w:p w:rsidR="00076BEA" w:rsidRPr="00E405F2" w:rsidRDefault="00076BEA" w:rsidP="004E7283">
            <w:pPr>
              <w:jc w:val="center"/>
            </w:pPr>
            <w:r w:rsidRPr="00E405F2">
              <w:t>1994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112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10</w:t>
            </w:r>
          </w:p>
        </w:tc>
        <w:tc>
          <w:tcPr>
            <w:tcW w:w="701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4.5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48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17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58</w:t>
            </w:r>
          </w:p>
        </w:tc>
      </w:tr>
      <w:tr w:rsidR="00076BEA" w:rsidRPr="00E405F2" w:rsidTr="004E7283">
        <w:trPr>
          <w:jc w:val="center"/>
        </w:trPr>
        <w:tc>
          <w:tcPr>
            <w:tcW w:w="62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839</w:t>
            </w:r>
          </w:p>
        </w:tc>
        <w:tc>
          <w:tcPr>
            <w:tcW w:w="71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14,3</w:t>
            </w:r>
          </w:p>
        </w:tc>
        <w:tc>
          <w:tcPr>
            <w:tcW w:w="64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1989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22</w:t>
            </w:r>
          </w:p>
        </w:tc>
        <w:tc>
          <w:tcPr>
            <w:tcW w:w="112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12</w:t>
            </w:r>
          </w:p>
        </w:tc>
        <w:tc>
          <w:tcPr>
            <w:tcW w:w="701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6.9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48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11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22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22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0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53</w:t>
            </w:r>
          </w:p>
        </w:tc>
      </w:tr>
      <w:tr w:rsidR="00076BEA" w:rsidRPr="00E405F2" w:rsidTr="004E7283">
        <w:trPr>
          <w:jc w:val="center"/>
        </w:trPr>
        <w:tc>
          <w:tcPr>
            <w:tcW w:w="62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917</w:t>
            </w:r>
          </w:p>
        </w:tc>
        <w:tc>
          <w:tcPr>
            <w:tcW w:w="714" w:type="dxa"/>
            <w:vMerge w:val="restart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16</w:t>
            </w:r>
          </w:p>
        </w:tc>
        <w:tc>
          <w:tcPr>
            <w:tcW w:w="642" w:type="dxa"/>
            <w:vMerge w:val="restart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1967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112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3</w:t>
            </w:r>
          </w:p>
        </w:tc>
        <w:tc>
          <w:tcPr>
            <w:tcW w:w="701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2.6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0</w:t>
            </w:r>
          </w:p>
        </w:tc>
        <w:tc>
          <w:tcPr>
            <w:tcW w:w="48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0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0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63</w:t>
            </w:r>
          </w:p>
        </w:tc>
      </w:tr>
      <w:tr w:rsidR="00076BEA" w:rsidRPr="00E405F2" w:rsidTr="004E7283">
        <w:trPr>
          <w:jc w:val="center"/>
        </w:trPr>
        <w:tc>
          <w:tcPr>
            <w:tcW w:w="62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937</w:t>
            </w:r>
          </w:p>
        </w:tc>
        <w:tc>
          <w:tcPr>
            <w:tcW w:w="714" w:type="dxa"/>
            <w:vMerge/>
            <w:vAlign w:val="center"/>
          </w:tcPr>
          <w:p w:rsidR="00076BEA" w:rsidRPr="00E405F2" w:rsidRDefault="00076BEA" w:rsidP="004E7283">
            <w:pPr>
              <w:jc w:val="center"/>
            </w:pPr>
          </w:p>
        </w:tc>
        <w:tc>
          <w:tcPr>
            <w:tcW w:w="642" w:type="dxa"/>
            <w:vMerge/>
            <w:vAlign w:val="center"/>
          </w:tcPr>
          <w:p w:rsidR="00076BEA" w:rsidRPr="00E405F2" w:rsidRDefault="00076BEA" w:rsidP="004E7283">
            <w:pPr>
              <w:jc w:val="center"/>
            </w:pP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1124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3</w:t>
            </w:r>
          </w:p>
        </w:tc>
        <w:tc>
          <w:tcPr>
            <w:tcW w:w="701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2.6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0</w:t>
            </w:r>
          </w:p>
        </w:tc>
        <w:tc>
          <w:tcPr>
            <w:tcW w:w="482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0</w:t>
            </w:r>
          </w:p>
        </w:tc>
        <w:tc>
          <w:tcPr>
            <w:tcW w:w="500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0</w:t>
            </w:r>
          </w:p>
        </w:tc>
        <w:tc>
          <w:tcPr>
            <w:tcW w:w="698" w:type="dxa"/>
            <w:vAlign w:val="center"/>
          </w:tcPr>
          <w:p w:rsidR="00076BEA" w:rsidRPr="00E405F2" w:rsidRDefault="00076BEA" w:rsidP="004E7283">
            <w:pPr>
              <w:jc w:val="center"/>
            </w:pPr>
            <w:r w:rsidRPr="00E405F2">
              <w:t>63</w:t>
            </w:r>
          </w:p>
        </w:tc>
      </w:tr>
    </w:tbl>
    <w:p w:rsidR="00076BEA" w:rsidRDefault="00076BEA" w:rsidP="00076BEA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76BEA" w:rsidRPr="00136D39" w:rsidRDefault="00076BEA" w:rsidP="00076BEA">
      <w:pPr>
        <w:tabs>
          <w:tab w:val="left" w:pos="43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05F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CC2E006" wp14:editId="4B19221E">
            <wp:extent cx="5940425" cy="2320237"/>
            <wp:effectExtent l="0" t="0" r="3175" b="4445"/>
            <wp:docPr id="16" name="Рисунок 16" descr="D:\18НАУЧНАЯ РАБОТА\01СТАТЬИ\2017\ТРУДЫ\Шерман Рукописи по темам\ТЕМА 5\[368] Геология, поиски и разведка рудных месторождений, 2007, Вып.5(31)\Шерман и др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D:\18НАУЧНАЯ РАБОТА\01СТАТЬИ\2017\ТРУДЫ\Шерман Рукописи по темам\ТЕМА 5\[368] Геология, поиски и разведка рудных месторождений, 2007, Вып.5(31)\Шерман и др 4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BEA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76BEA" w:rsidRPr="00E405F2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05F2">
        <w:rPr>
          <w:rFonts w:ascii="Times New Roman" w:hAnsi="Times New Roman" w:cs="Times New Roman"/>
          <w:bCs/>
          <w:sz w:val="24"/>
          <w:szCs w:val="24"/>
        </w:rPr>
        <w:t>Рис. 4. Графики зависимости энергетического класса землетрясений от плотности активных разломов по пятилетним временны́м интервалам.</w:t>
      </w:r>
    </w:p>
    <w:p w:rsidR="00076BEA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76BEA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6D39">
        <w:rPr>
          <w:rFonts w:ascii="Times New Roman" w:hAnsi="Times New Roman" w:cs="Times New Roman"/>
          <w:bCs/>
          <w:sz w:val="24"/>
          <w:szCs w:val="24"/>
        </w:rPr>
        <w:t xml:space="preserve">Существенная весомость интенсивности активизаций разломов в контролировании наиболее сильных сейсмических событий видна из гистограммы (рис. 5). Она построена для наиболее представительных и опасных землетрясений с энергетическим классом  </w:t>
      </w:r>
      <w:r w:rsidRPr="00136D39">
        <w:rPr>
          <w:rFonts w:ascii="Times New Roman" w:hAnsi="Times New Roman" w:cs="Times New Roman"/>
          <w:bCs/>
          <w:sz w:val="24"/>
          <w:szCs w:val="24"/>
          <w:lang w:val="en-US"/>
        </w:rPr>
        <w:t>K</w:t>
      </w:r>
      <w:r w:rsidRPr="00136D39">
        <w:rPr>
          <w:rFonts w:ascii="Times New Roman" w:hAnsi="Times New Roman" w:cs="Times New Roman"/>
          <w:bCs/>
          <w:sz w:val="24"/>
          <w:szCs w:val="24"/>
        </w:rPr>
        <w:t xml:space="preserve">≥14. Не менее 50% зарегистрированных землетрясений приходятся на площадки со 100-процентной активизацией разломов, оставшиеся 50% землетрясений с </w:t>
      </w:r>
      <w:r w:rsidRPr="00136D39">
        <w:rPr>
          <w:rFonts w:ascii="Times New Roman" w:hAnsi="Times New Roman" w:cs="Times New Roman"/>
          <w:bCs/>
          <w:sz w:val="24"/>
          <w:szCs w:val="24"/>
          <w:lang w:val="en-US"/>
        </w:rPr>
        <w:t>K</w:t>
      </w:r>
      <w:r w:rsidRPr="00136D39">
        <w:rPr>
          <w:rFonts w:ascii="Times New Roman" w:hAnsi="Times New Roman" w:cs="Times New Roman"/>
          <w:bCs/>
          <w:sz w:val="24"/>
          <w:szCs w:val="24"/>
        </w:rPr>
        <w:t xml:space="preserve">≥14 локализуются неравномерно на других площадках. </w:t>
      </w:r>
    </w:p>
    <w:p w:rsidR="00076BEA" w:rsidRPr="00136D39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6D39">
        <w:rPr>
          <w:rFonts w:ascii="Times New Roman" w:hAnsi="Times New Roman" w:cs="Times New Roman"/>
          <w:bCs/>
          <w:sz w:val="24"/>
          <w:szCs w:val="24"/>
        </w:rPr>
        <w:t xml:space="preserve">Таким образом, плотность активных разломов можно рассматривать как весьма информативный параметр раздробленности литосферы, характеризующий ее квазивязкость и определяющий сейсмический потенциал сейсмоактивных территорий. </w:t>
      </w:r>
    </w:p>
    <w:p w:rsidR="00076BEA" w:rsidRPr="00136D39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з</w:t>
      </w:r>
      <w:r w:rsidRPr="00136D39">
        <w:rPr>
          <w:rFonts w:ascii="Times New Roman" w:hAnsi="Times New Roman" w:cs="Times New Roman"/>
          <w:sz w:val="24"/>
          <w:szCs w:val="24"/>
        </w:rPr>
        <w:t>нание закономерностей организации эпицентральных полей землетрясений позволяет прогнозировать возникновение сейсмических событий и их аналогов – горных ударов, что немаловажно для безопасной разработки месторождений полезных ископаемых. Использованную методику анализа соотношений активных и общей массы разрывов можно применить и для оценки рудоносности территории. Основой для этого служит известный факт о приуроченности большинства месторождений (в том числе и рудных) к разломным зонам – наиболее проницаемыми участками земной коры и литосферы.  Примером могут явиться работы по применению параметра плотности разрывов как одного из критериев при поисках месторождений золота в Западной Австралии [23]. Г</w:t>
      </w:r>
      <w:r w:rsidRPr="00136D39">
        <w:rPr>
          <w:rFonts w:ascii="Times New Roman" w:hAnsi="Times New Roman" w:cs="Times New Roman"/>
          <w:iCs/>
          <w:sz w:val="24"/>
          <w:szCs w:val="24"/>
        </w:rPr>
        <w:t xml:space="preserve">орнорудный центр Ора-Банда в Западной Австралии, где проявлены крупные месторождения золота, является примером тесной ассоциированности высокоплотного трещинообразования и золоторудной минерализации. Их тесные </w:t>
      </w:r>
      <w:r w:rsidRPr="00136D39">
        <w:rPr>
          <w:rFonts w:ascii="Times New Roman" w:hAnsi="Times New Roman" w:cs="Times New Roman"/>
          <w:iCs/>
          <w:sz w:val="24"/>
          <w:szCs w:val="24"/>
        </w:rPr>
        <w:lastRenderedPageBreak/>
        <w:t>ассоциации зафиксированы в разных масштабах и могут быть использованы при выделении перспективных для поисков золота районов и участков [</w:t>
      </w:r>
      <w:r w:rsidRPr="00136D39">
        <w:rPr>
          <w:rFonts w:ascii="Times New Roman" w:hAnsi="Times New Roman" w:cs="Times New Roman"/>
          <w:sz w:val="24"/>
          <w:szCs w:val="24"/>
        </w:rPr>
        <w:t>23</w:t>
      </w:r>
      <w:r w:rsidRPr="00136D39">
        <w:rPr>
          <w:rFonts w:ascii="Times New Roman" w:hAnsi="Times New Roman" w:cs="Times New Roman"/>
          <w:iCs/>
          <w:sz w:val="24"/>
          <w:szCs w:val="24"/>
        </w:rPr>
        <w:t xml:space="preserve">]. </w:t>
      </w:r>
    </w:p>
    <w:p w:rsidR="00076BEA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76BEA" w:rsidRDefault="00076BEA" w:rsidP="00076BEA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405F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E3EADDF" wp14:editId="65A0F6BC">
            <wp:extent cx="3562710" cy="2471624"/>
            <wp:effectExtent l="0" t="0" r="0" b="5080"/>
            <wp:docPr id="87" name="Рисунок 87" descr="D:\18НАУЧНАЯ РАБОТА\01СТАТЬИ\2017\ТРУДЫ\Шерман Рукописи по темам\ТЕМА 5\[368] Геология, поиски и разведка рудных месторождений, 2007, Вып.5(31)\Шерман и др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D:\18НАУЧНАЯ РАБОТА\01СТАТЬИ\2017\ТРУДЫ\Шерман Рукописи по темам\ТЕМА 5\[368] Геология, поиски и разведка рудных месторождений, 2007, Вып.5(31)\Шерман и др 5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632" cy="247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BEA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76BEA" w:rsidRPr="00E405F2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05F2">
        <w:rPr>
          <w:rFonts w:ascii="Times New Roman" w:hAnsi="Times New Roman" w:cs="Times New Roman"/>
          <w:bCs/>
          <w:sz w:val="24"/>
          <w:szCs w:val="24"/>
        </w:rPr>
        <w:t xml:space="preserve">Рис. 5. Гистограмма приуроченности сильных землетрясений с </w:t>
      </w:r>
      <w:r w:rsidRPr="00E405F2">
        <w:rPr>
          <w:rFonts w:ascii="Times New Roman" w:hAnsi="Times New Roman" w:cs="Times New Roman"/>
          <w:bCs/>
          <w:sz w:val="24"/>
          <w:szCs w:val="24"/>
          <w:lang w:val="en-US"/>
        </w:rPr>
        <w:t>K</w:t>
      </w:r>
      <w:r w:rsidRPr="00E405F2">
        <w:rPr>
          <w:rFonts w:ascii="Times New Roman" w:hAnsi="Times New Roman" w:cs="Times New Roman"/>
          <w:bCs/>
          <w:sz w:val="24"/>
          <w:szCs w:val="24"/>
        </w:rPr>
        <w:t>≥14 к площадкам с высоким процентом активизации разломов.</w:t>
      </w:r>
    </w:p>
    <w:p w:rsidR="00076BEA" w:rsidRPr="00136D39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6BEA" w:rsidRPr="00136D39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6D39">
        <w:rPr>
          <w:rFonts w:ascii="Times New Roman" w:hAnsi="Times New Roman" w:cs="Times New Roman"/>
          <w:iCs/>
          <w:sz w:val="24"/>
          <w:szCs w:val="24"/>
        </w:rPr>
        <w:t xml:space="preserve">В настоящее время в литературе параметр плотности разломов по отношению к поискам и разведке месторождений полезных ископаемых освещен недостаточно широко, хотя приуроченность полезных ископаемых к разломам как к дискретным структурам хорошо известная закономерность. </w:t>
      </w:r>
      <w:r w:rsidRPr="00136D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6BEA" w:rsidRPr="00136D39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6D39">
        <w:rPr>
          <w:rFonts w:ascii="Times New Roman" w:hAnsi="Times New Roman" w:cs="Times New Roman"/>
          <w:sz w:val="24"/>
          <w:szCs w:val="24"/>
        </w:rPr>
        <w:t xml:space="preserve">Резюмируя проведенные исследования можно утверждать, что параметр плотности разломов необходимо рассматривать более широко как весьма информативный показатель тектонофизических свойств хрупкой литосферы. В комплексе с напряженным состоянием среды и другими факторами он предопределяет флюидо- и газопроницаемость коры и в целом хрупкой литосферы, способствует концентрации и рудоотложению минеральных формирований. Исследование современной сейсмичности для выяснения закономерностей активизаций разломов и/или современного разломообразования в литосфере способствует более полному выяснению закономерностей деструкции коры и литосферы в предшествующие геологические эпохи и ее влиянии на формирование рудных полей и месторождений. </w:t>
      </w:r>
    </w:p>
    <w:p w:rsidR="00076BEA" w:rsidRPr="00136D39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6D39">
        <w:rPr>
          <w:rFonts w:ascii="Times New Roman" w:hAnsi="Times New Roman" w:cs="Times New Roman"/>
          <w:sz w:val="24"/>
          <w:szCs w:val="24"/>
        </w:rPr>
        <w:t>Работа выполнена при поддержке РФФИ (грант 07-05-00251) и Программы 16 проекта 3 Президиума РАН «Динамика деформационных процессов в сейсмоактивных регионах Центральной Азии и в очаговых зонах сильных землетрясений».</w:t>
      </w:r>
    </w:p>
    <w:p w:rsidR="00076BEA" w:rsidRPr="00136D39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6BEA" w:rsidRPr="00136D39" w:rsidRDefault="00076BEA" w:rsidP="00076BEA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ЛИТЕРАТУРА</w:t>
      </w:r>
    </w:p>
    <w:p w:rsidR="00076BEA" w:rsidRPr="005A5934" w:rsidRDefault="00076BEA" w:rsidP="00076BEA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5934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5934">
        <w:rPr>
          <w:rFonts w:ascii="Times New Roman" w:hAnsi="Times New Roman" w:cs="Times New Roman"/>
          <w:sz w:val="24"/>
          <w:szCs w:val="24"/>
        </w:rPr>
        <w:t xml:space="preserve">Аптикаева О.И., Аптикаев С.Ф., Копничев Ю.Ф., Рогожин Е.А. Неоднородности литосферы и астеносферы Туранской плиты и Южного Тянь–Шаня, их связь с тектоникой и сейсмичностью </w:t>
      </w:r>
      <w:r w:rsidRPr="005A5934">
        <w:rPr>
          <w:rFonts w:ascii="Times New Roman" w:hAnsi="Times New Roman" w:cs="Times New Roman"/>
          <w:bCs/>
          <w:sz w:val="24"/>
          <w:szCs w:val="24"/>
        </w:rPr>
        <w:t>// Физика земли. 1996. № 2. с. 3–15.</w:t>
      </w:r>
    </w:p>
    <w:p w:rsidR="00076BEA" w:rsidRPr="00136D39" w:rsidRDefault="00076BEA" w:rsidP="00076BEA">
      <w:pPr>
        <w:tabs>
          <w:tab w:val="left" w:pos="434"/>
          <w:tab w:val="num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Pr="00136D39">
        <w:rPr>
          <w:rFonts w:ascii="Times New Roman" w:hAnsi="Times New Roman" w:cs="Times New Roman"/>
          <w:bCs/>
          <w:sz w:val="24"/>
          <w:szCs w:val="24"/>
        </w:rPr>
        <w:t xml:space="preserve">Ежов С.В. Разломы, скарны и </w:t>
      </w:r>
      <w:r w:rsidRPr="00136D39">
        <w:rPr>
          <w:rFonts w:ascii="Times New Roman" w:hAnsi="Times New Roman" w:cs="Times New Roman"/>
          <w:bCs/>
          <w:sz w:val="24"/>
          <w:szCs w:val="24"/>
          <w:lang w:val="en-US"/>
        </w:rPr>
        <w:t>Pb</w:t>
      </w:r>
      <w:r w:rsidRPr="00136D39">
        <w:rPr>
          <w:rFonts w:ascii="Times New Roman" w:hAnsi="Times New Roman" w:cs="Times New Roman"/>
          <w:bCs/>
          <w:sz w:val="24"/>
          <w:szCs w:val="24"/>
        </w:rPr>
        <w:t>-</w:t>
      </w:r>
      <w:r w:rsidRPr="00136D39">
        <w:rPr>
          <w:rFonts w:ascii="Times New Roman" w:hAnsi="Times New Roman" w:cs="Times New Roman"/>
          <w:bCs/>
          <w:sz w:val="24"/>
          <w:szCs w:val="24"/>
          <w:lang w:val="en-US"/>
        </w:rPr>
        <w:t>Zn</w:t>
      </w:r>
      <w:r w:rsidRPr="00136D39">
        <w:rPr>
          <w:rFonts w:ascii="Times New Roman" w:hAnsi="Times New Roman" w:cs="Times New Roman"/>
          <w:bCs/>
          <w:sz w:val="24"/>
          <w:szCs w:val="24"/>
        </w:rPr>
        <w:t>-месторождения Алтын</w:t>
      </w:r>
      <w:r w:rsidRPr="00136D39">
        <w:rPr>
          <w:rFonts w:ascii="Times New Roman" w:hAnsi="Times New Roman" w:cs="Times New Roman"/>
          <w:sz w:val="24"/>
          <w:szCs w:val="24"/>
        </w:rPr>
        <w:t>–</w:t>
      </w:r>
      <w:r w:rsidRPr="00136D39">
        <w:rPr>
          <w:rFonts w:ascii="Times New Roman" w:hAnsi="Times New Roman" w:cs="Times New Roman"/>
          <w:bCs/>
          <w:sz w:val="24"/>
          <w:szCs w:val="24"/>
        </w:rPr>
        <w:t>Топкансого рудного поля (Северный Таджикистан) // Геология рудных месторождений. 1996. т. 38. № 6. с. 527–539.</w:t>
      </w:r>
    </w:p>
    <w:p w:rsidR="00076BEA" w:rsidRPr="00136D39" w:rsidRDefault="00076BEA" w:rsidP="00076BEA">
      <w:pPr>
        <w:tabs>
          <w:tab w:val="left" w:pos="434"/>
          <w:tab w:val="num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136D39">
        <w:rPr>
          <w:rFonts w:ascii="Times New Roman" w:hAnsi="Times New Roman" w:cs="Times New Roman"/>
          <w:sz w:val="24"/>
          <w:szCs w:val="24"/>
        </w:rPr>
        <w:t>Желиговский В.А., Подвигина О.М., Садовский А.М. Определение мест раздробленности земной коры формализованным алгоритмам по гравитационным и топографическим данным // Теоретические проблемы геодинамики и сейсмологии (Вычислительная сейсмология. Вып.27) – М.: Наука. 1994. с. 245</w:t>
      </w:r>
      <w:r w:rsidRPr="00136D39">
        <w:rPr>
          <w:rFonts w:ascii="Times New Roman" w:hAnsi="Times New Roman" w:cs="Times New Roman"/>
          <w:bCs/>
          <w:sz w:val="24"/>
          <w:szCs w:val="24"/>
        </w:rPr>
        <w:t>–</w:t>
      </w:r>
      <w:r w:rsidRPr="00136D39">
        <w:rPr>
          <w:rFonts w:ascii="Times New Roman" w:hAnsi="Times New Roman" w:cs="Times New Roman"/>
          <w:sz w:val="24"/>
          <w:szCs w:val="24"/>
        </w:rPr>
        <w:t>279.</w:t>
      </w:r>
    </w:p>
    <w:p w:rsidR="00076BEA" w:rsidRPr="00136D39" w:rsidRDefault="00076BEA" w:rsidP="00076BEA">
      <w:pPr>
        <w:tabs>
          <w:tab w:val="left" w:pos="434"/>
          <w:tab w:val="num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136D39">
        <w:rPr>
          <w:rFonts w:ascii="Times New Roman" w:hAnsi="Times New Roman" w:cs="Times New Roman"/>
          <w:sz w:val="24"/>
          <w:szCs w:val="24"/>
        </w:rPr>
        <w:t>Карта разломов Юга Восточной Сибири. М-б 1:1500000. Отв. редактор П.М. Хренов. Изд-во Мингео СССР. Москва. 1988.</w:t>
      </w:r>
    </w:p>
    <w:p w:rsidR="00076BEA" w:rsidRPr="00136D39" w:rsidRDefault="00076BEA" w:rsidP="00076BEA">
      <w:pPr>
        <w:tabs>
          <w:tab w:val="left" w:pos="434"/>
          <w:tab w:val="num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r w:rsidRPr="00136D39">
        <w:rPr>
          <w:rFonts w:ascii="Times New Roman" w:hAnsi="Times New Roman" w:cs="Times New Roman"/>
          <w:sz w:val="24"/>
          <w:szCs w:val="24"/>
        </w:rPr>
        <w:t>Коваль П.В., Удодов Ю.Н., Саньков В.А., Ясеновский А.А., Андрулайтис Л.Д. Геохимическая активность разломов Байкальской рифтовой зоны (ртуть, радон и торон) // Докл. РАН. 2006. т. 409. № 3. с. 389</w:t>
      </w:r>
      <w:r w:rsidRPr="00136D39">
        <w:rPr>
          <w:rFonts w:ascii="Times New Roman" w:hAnsi="Times New Roman" w:cs="Times New Roman"/>
          <w:bCs/>
          <w:sz w:val="24"/>
          <w:szCs w:val="24"/>
        </w:rPr>
        <w:t>–</w:t>
      </w:r>
      <w:r w:rsidRPr="00136D39">
        <w:rPr>
          <w:rFonts w:ascii="Times New Roman" w:hAnsi="Times New Roman" w:cs="Times New Roman"/>
          <w:sz w:val="24"/>
          <w:szCs w:val="24"/>
        </w:rPr>
        <w:t>393.</w:t>
      </w:r>
    </w:p>
    <w:p w:rsidR="00076BEA" w:rsidRPr="00136D39" w:rsidRDefault="00076BEA" w:rsidP="00076BEA">
      <w:pPr>
        <w:tabs>
          <w:tab w:val="left" w:pos="434"/>
          <w:tab w:val="num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136D39">
        <w:rPr>
          <w:rFonts w:ascii="Times New Roman" w:hAnsi="Times New Roman" w:cs="Times New Roman"/>
          <w:sz w:val="24"/>
          <w:szCs w:val="24"/>
        </w:rPr>
        <w:t xml:space="preserve">Леви К.Г., Мирошниченко А.И., Саньков В.А., Парфеевец А.В., Лухнев А.В., Лухнева О.Ф. Активные разломы, напряженное состояние земной коры и сейсмический потенциал территории Монголии // Труды </w:t>
      </w:r>
      <w:r w:rsidRPr="00136D39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136D39">
        <w:rPr>
          <w:rFonts w:ascii="Times New Roman" w:hAnsi="Times New Roman" w:cs="Times New Roman"/>
          <w:sz w:val="24"/>
          <w:szCs w:val="24"/>
        </w:rPr>
        <w:t xml:space="preserve"> Российско–Монгольской конференции по астрономии и геофизике. Улан-Уде, 25</w:t>
      </w:r>
      <w:r w:rsidRPr="00136D39">
        <w:rPr>
          <w:rFonts w:ascii="Times New Roman" w:hAnsi="Times New Roman" w:cs="Times New Roman"/>
          <w:bCs/>
          <w:sz w:val="24"/>
          <w:szCs w:val="24"/>
        </w:rPr>
        <w:t>–</w:t>
      </w:r>
      <w:r w:rsidRPr="00136D39">
        <w:rPr>
          <w:rFonts w:ascii="Times New Roman" w:hAnsi="Times New Roman" w:cs="Times New Roman"/>
          <w:sz w:val="24"/>
          <w:szCs w:val="24"/>
        </w:rPr>
        <w:t xml:space="preserve">29 сентября 2005, </w:t>
      </w:r>
      <w:r w:rsidRPr="00136D39">
        <w:rPr>
          <w:rFonts w:ascii="Times New Roman" w:hAnsi="Times New Roman" w:cs="Times New Roman"/>
          <w:bCs/>
          <w:sz w:val="24"/>
          <w:szCs w:val="24"/>
        </w:rPr>
        <w:t>–</w:t>
      </w:r>
      <w:r w:rsidRPr="00136D39">
        <w:rPr>
          <w:rFonts w:ascii="Times New Roman" w:hAnsi="Times New Roman" w:cs="Times New Roman"/>
          <w:sz w:val="24"/>
          <w:szCs w:val="24"/>
        </w:rPr>
        <w:t xml:space="preserve"> Иркутск: Институт земной коры СО РАН, 2006. с. 71</w:t>
      </w:r>
      <w:r w:rsidRPr="00136D39">
        <w:rPr>
          <w:rFonts w:ascii="Times New Roman" w:hAnsi="Times New Roman" w:cs="Times New Roman"/>
          <w:bCs/>
          <w:sz w:val="24"/>
          <w:szCs w:val="24"/>
        </w:rPr>
        <w:t>–</w:t>
      </w:r>
      <w:r w:rsidRPr="00136D39">
        <w:rPr>
          <w:rFonts w:ascii="Times New Roman" w:hAnsi="Times New Roman" w:cs="Times New Roman"/>
          <w:sz w:val="24"/>
          <w:szCs w:val="24"/>
        </w:rPr>
        <w:t>79.</w:t>
      </w:r>
    </w:p>
    <w:p w:rsidR="00076BEA" w:rsidRPr="00136D39" w:rsidRDefault="00076BEA" w:rsidP="00076BEA">
      <w:pPr>
        <w:tabs>
          <w:tab w:val="left" w:pos="434"/>
          <w:tab w:val="num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136D39">
        <w:rPr>
          <w:rFonts w:ascii="Times New Roman" w:hAnsi="Times New Roman" w:cs="Times New Roman"/>
          <w:sz w:val="24"/>
          <w:szCs w:val="24"/>
        </w:rPr>
        <w:t>Лунина О.В. Комплексный подход к оценке активности разломов на примере Баргузинского рифта (применительно к проблеме сейсмической опасности) // Геодинамическая эволюция литосферы Центрально–Азиатского подвижного пояса (от океана к континенту): Материалы совещания. Вып. 4 – Иркутск: Институт земной коры СО РАН, 2006. т. 1. с. 225</w:t>
      </w:r>
      <w:r w:rsidRPr="00136D39">
        <w:rPr>
          <w:rFonts w:ascii="Times New Roman" w:hAnsi="Times New Roman" w:cs="Times New Roman"/>
          <w:bCs/>
          <w:sz w:val="24"/>
          <w:szCs w:val="24"/>
        </w:rPr>
        <w:t>–</w:t>
      </w:r>
      <w:r w:rsidRPr="00136D39">
        <w:rPr>
          <w:rFonts w:ascii="Times New Roman" w:hAnsi="Times New Roman" w:cs="Times New Roman"/>
          <w:sz w:val="24"/>
          <w:szCs w:val="24"/>
        </w:rPr>
        <w:t>228.</w:t>
      </w:r>
    </w:p>
    <w:p w:rsidR="00076BEA" w:rsidRPr="00136D39" w:rsidRDefault="00076BEA" w:rsidP="00076BEA">
      <w:pPr>
        <w:tabs>
          <w:tab w:val="left" w:pos="434"/>
          <w:tab w:val="num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136D39">
        <w:rPr>
          <w:rFonts w:ascii="Times New Roman" w:hAnsi="Times New Roman" w:cs="Times New Roman"/>
          <w:sz w:val="24"/>
          <w:szCs w:val="24"/>
        </w:rPr>
        <w:t xml:space="preserve">Нечаев Ю.В, Рогожин Е.А. Анализ тектонической раздробленности очаговой области Спитакского землетрясения </w:t>
      </w:r>
      <w:smartTag w:uri="urn:schemas-microsoft-com:office:smarttags" w:element="metricconverter">
        <w:smartTagPr>
          <w:attr w:name="ProductID" w:val="1988 г"/>
        </w:smartTagPr>
        <w:r w:rsidRPr="00136D39">
          <w:rPr>
            <w:rFonts w:ascii="Times New Roman" w:hAnsi="Times New Roman" w:cs="Times New Roman"/>
            <w:sz w:val="24"/>
            <w:szCs w:val="24"/>
          </w:rPr>
          <w:t>1988 г</w:t>
        </w:r>
      </w:smartTag>
      <w:r w:rsidRPr="00136D39">
        <w:rPr>
          <w:rFonts w:ascii="Times New Roman" w:hAnsi="Times New Roman" w:cs="Times New Roman"/>
          <w:sz w:val="24"/>
          <w:szCs w:val="24"/>
        </w:rPr>
        <w:t>. //Докл. АН СССР. 1991. т. 320. № 6. с. 1441</w:t>
      </w:r>
      <w:r w:rsidRPr="00136D39">
        <w:rPr>
          <w:rFonts w:ascii="Times New Roman" w:hAnsi="Times New Roman" w:cs="Times New Roman"/>
          <w:bCs/>
          <w:sz w:val="24"/>
          <w:szCs w:val="24"/>
        </w:rPr>
        <w:t>–</w:t>
      </w:r>
      <w:r w:rsidRPr="00136D39">
        <w:rPr>
          <w:rFonts w:ascii="Times New Roman" w:hAnsi="Times New Roman" w:cs="Times New Roman"/>
          <w:sz w:val="24"/>
          <w:szCs w:val="24"/>
        </w:rPr>
        <w:t xml:space="preserve">1445. </w:t>
      </w:r>
    </w:p>
    <w:p w:rsidR="00076BEA" w:rsidRPr="00136D39" w:rsidRDefault="00076BEA" w:rsidP="00076BEA">
      <w:pPr>
        <w:tabs>
          <w:tab w:val="left" w:pos="434"/>
          <w:tab w:val="num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136D39">
        <w:rPr>
          <w:rFonts w:ascii="Times New Roman" w:hAnsi="Times New Roman" w:cs="Times New Roman"/>
          <w:sz w:val="24"/>
          <w:szCs w:val="24"/>
        </w:rPr>
        <w:t xml:space="preserve">Нечаев Ю.В., Рогожин Е.А. Выделение сейсмоактивных геологических структур по космическим снимкам (на примере Горного Алтая) //Сильное землетрясение на Алтае 27 сентября </w:t>
      </w:r>
      <w:smartTag w:uri="urn:schemas-microsoft-com:office:smarttags" w:element="metricconverter">
        <w:smartTagPr>
          <w:attr w:name="ProductID" w:val="2003 г"/>
        </w:smartTagPr>
        <w:r w:rsidRPr="00136D39">
          <w:rPr>
            <w:rFonts w:ascii="Times New Roman" w:hAnsi="Times New Roman" w:cs="Times New Roman"/>
            <w:sz w:val="24"/>
            <w:szCs w:val="24"/>
          </w:rPr>
          <w:t>2003 г</w:t>
        </w:r>
      </w:smartTag>
      <w:r w:rsidRPr="00136D39">
        <w:rPr>
          <w:rFonts w:ascii="Times New Roman" w:hAnsi="Times New Roman" w:cs="Times New Roman"/>
          <w:sz w:val="24"/>
          <w:szCs w:val="24"/>
        </w:rPr>
        <w:t xml:space="preserve">. </w:t>
      </w:r>
      <w:r w:rsidRPr="00136D39">
        <w:rPr>
          <w:rFonts w:ascii="Times New Roman" w:hAnsi="Times New Roman" w:cs="Times New Roman"/>
          <w:bCs/>
          <w:sz w:val="24"/>
          <w:szCs w:val="24"/>
        </w:rPr>
        <w:t>–</w:t>
      </w:r>
      <w:r w:rsidRPr="00136D39">
        <w:rPr>
          <w:rFonts w:ascii="Times New Roman" w:hAnsi="Times New Roman" w:cs="Times New Roman"/>
          <w:sz w:val="24"/>
          <w:szCs w:val="24"/>
        </w:rPr>
        <w:t xml:space="preserve"> М.: Институт физики Земли РАН. 2004. с. 68</w:t>
      </w:r>
      <w:r w:rsidRPr="00136D39">
        <w:rPr>
          <w:rFonts w:ascii="Times New Roman" w:hAnsi="Times New Roman" w:cs="Times New Roman"/>
          <w:bCs/>
          <w:sz w:val="24"/>
          <w:szCs w:val="24"/>
        </w:rPr>
        <w:t>–</w:t>
      </w:r>
      <w:r w:rsidRPr="00136D39">
        <w:rPr>
          <w:rFonts w:ascii="Times New Roman" w:hAnsi="Times New Roman" w:cs="Times New Roman"/>
          <w:sz w:val="24"/>
          <w:szCs w:val="24"/>
        </w:rPr>
        <w:t xml:space="preserve">82. </w:t>
      </w:r>
    </w:p>
    <w:p w:rsidR="00076BEA" w:rsidRPr="00136D39" w:rsidRDefault="00076BEA" w:rsidP="00076BEA">
      <w:pPr>
        <w:tabs>
          <w:tab w:val="left" w:pos="434"/>
          <w:tab w:val="num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136D39">
        <w:rPr>
          <w:rFonts w:ascii="Times New Roman" w:hAnsi="Times New Roman" w:cs="Times New Roman"/>
          <w:sz w:val="24"/>
          <w:szCs w:val="24"/>
        </w:rPr>
        <w:t>Нечаев Ю.В., Рогожин Е.А., Богачкин Б.М. Особенности проявления Рачинского землетрясения (1991) в поле тектонической раздробленности (по космическим данным) //Физика Земли. 1993. № 3. с. 64</w:t>
      </w:r>
      <w:r w:rsidRPr="00136D39">
        <w:rPr>
          <w:rFonts w:ascii="Times New Roman" w:hAnsi="Times New Roman" w:cs="Times New Roman"/>
          <w:bCs/>
          <w:sz w:val="24"/>
          <w:szCs w:val="24"/>
        </w:rPr>
        <w:t>–</w:t>
      </w:r>
      <w:r w:rsidRPr="00136D39">
        <w:rPr>
          <w:rFonts w:ascii="Times New Roman" w:hAnsi="Times New Roman" w:cs="Times New Roman"/>
          <w:sz w:val="24"/>
          <w:szCs w:val="24"/>
        </w:rPr>
        <w:t>69.</w:t>
      </w:r>
    </w:p>
    <w:p w:rsidR="00076BEA" w:rsidRPr="00136D39" w:rsidRDefault="00076BEA" w:rsidP="00076BEA">
      <w:pPr>
        <w:tabs>
          <w:tab w:val="left" w:pos="434"/>
          <w:tab w:val="num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Pr="00136D39">
        <w:rPr>
          <w:rFonts w:ascii="Times New Roman" w:hAnsi="Times New Roman" w:cs="Times New Roman"/>
          <w:sz w:val="24"/>
          <w:szCs w:val="24"/>
        </w:rPr>
        <w:t>Рогожин Е.А., Богачкин Б.М., Нечаев Ю.В. и др. Новые данные о древних сильных землетрясениях Горного Алтая // Физика Земли. 1998. № 3. с.1</w:t>
      </w:r>
      <w:r w:rsidRPr="00136D39">
        <w:rPr>
          <w:rFonts w:ascii="Times New Roman" w:hAnsi="Times New Roman" w:cs="Times New Roman"/>
          <w:bCs/>
          <w:sz w:val="24"/>
          <w:szCs w:val="24"/>
        </w:rPr>
        <w:t>–</w:t>
      </w:r>
      <w:r w:rsidRPr="00136D39">
        <w:rPr>
          <w:rFonts w:ascii="Times New Roman" w:hAnsi="Times New Roman" w:cs="Times New Roman"/>
          <w:sz w:val="24"/>
          <w:szCs w:val="24"/>
        </w:rPr>
        <w:t xml:space="preserve">7. </w:t>
      </w:r>
    </w:p>
    <w:p w:rsidR="00076BEA" w:rsidRPr="00136D39" w:rsidRDefault="00076BEA" w:rsidP="00076BEA">
      <w:pPr>
        <w:tabs>
          <w:tab w:val="left" w:pos="434"/>
          <w:tab w:val="num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Pr="00136D39">
        <w:rPr>
          <w:rFonts w:ascii="Times New Roman" w:hAnsi="Times New Roman" w:cs="Times New Roman"/>
          <w:sz w:val="24"/>
          <w:szCs w:val="24"/>
        </w:rPr>
        <w:t xml:space="preserve">Рогожин Е.А., Платонова С.Г. Очаговые зоны сильных землетрясений Горного Алтая в голоцене. </w:t>
      </w:r>
      <w:r w:rsidRPr="00136D39">
        <w:rPr>
          <w:rFonts w:ascii="Times New Roman" w:hAnsi="Times New Roman" w:cs="Times New Roman"/>
          <w:bCs/>
          <w:sz w:val="24"/>
          <w:szCs w:val="24"/>
        </w:rPr>
        <w:t>–</w:t>
      </w:r>
      <w:r w:rsidRPr="00136D39">
        <w:rPr>
          <w:rFonts w:ascii="Times New Roman" w:hAnsi="Times New Roman" w:cs="Times New Roman"/>
          <w:sz w:val="24"/>
          <w:szCs w:val="24"/>
        </w:rPr>
        <w:t xml:space="preserve"> М.: ОИФЗ РАН. 2001. 120 с. </w:t>
      </w:r>
    </w:p>
    <w:p w:rsidR="00076BEA" w:rsidRPr="00136D39" w:rsidRDefault="00076BEA" w:rsidP="00076BEA">
      <w:pPr>
        <w:tabs>
          <w:tab w:val="left" w:pos="434"/>
          <w:tab w:val="num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 w:rsidRPr="00136D39">
        <w:rPr>
          <w:rFonts w:ascii="Times New Roman" w:hAnsi="Times New Roman" w:cs="Times New Roman"/>
          <w:sz w:val="24"/>
          <w:szCs w:val="24"/>
        </w:rPr>
        <w:t xml:space="preserve">Рыбалов Б.Л. Пространственное размещение позднемезозойских рудных месторождений в Восточном Забайкалье (Россия) </w:t>
      </w:r>
      <w:r w:rsidRPr="00136D39">
        <w:rPr>
          <w:rFonts w:ascii="Times New Roman" w:hAnsi="Times New Roman" w:cs="Times New Roman"/>
          <w:bCs/>
          <w:sz w:val="24"/>
          <w:szCs w:val="24"/>
        </w:rPr>
        <w:t>// Геология рудных месторождений. 2002. т. 44. № 4. с. 354–368.</w:t>
      </w:r>
    </w:p>
    <w:p w:rsidR="00076BEA" w:rsidRPr="00136D39" w:rsidRDefault="00076BEA" w:rsidP="00076BEA">
      <w:pPr>
        <w:tabs>
          <w:tab w:val="left" w:pos="434"/>
          <w:tab w:val="num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r w:rsidRPr="00136D39">
        <w:rPr>
          <w:rFonts w:ascii="Times New Roman" w:hAnsi="Times New Roman" w:cs="Times New Roman"/>
          <w:sz w:val="24"/>
          <w:szCs w:val="24"/>
        </w:rPr>
        <w:t>Семинский К.Ж. Внутренняя структура континентальных разломных зон. Тектонофизический аспект. Новосибирск: Изд-во СО РАН, Филиал «Гео», 2003. 244 с.</w:t>
      </w:r>
    </w:p>
    <w:p w:rsidR="00076BEA" w:rsidRPr="00136D39" w:rsidRDefault="00076BEA" w:rsidP="00076BEA">
      <w:pPr>
        <w:tabs>
          <w:tab w:val="left" w:pos="434"/>
          <w:tab w:val="num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15. </w:t>
      </w:r>
      <w:r w:rsidRPr="00136D39">
        <w:rPr>
          <w:rFonts w:ascii="Times New Roman" w:hAnsi="Times New Roman" w:cs="Times New Roman"/>
          <w:bCs/>
          <w:sz w:val="24"/>
          <w:szCs w:val="24"/>
        </w:rPr>
        <w:t>Семинский Ж.В., Семинский К.Ж. Тектонофизический анализ обстановок локализации рудных полей и месторождений в разломных зонах земной коры // Геология рудных месторождений. 2004. т. 46. № 4. с. 292–304.</w:t>
      </w:r>
    </w:p>
    <w:p w:rsidR="00076BEA" w:rsidRPr="00136D39" w:rsidRDefault="00076BEA" w:rsidP="00076BEA">
      <w:pPr>
        <w:tabs>
          <w:tab w:val="left" w:pos="434"/>
          <w:tab w:val="num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</w:t>
      </w:r>
      <w:r w:rsidRPr="00136D39">
        <w:rPr>
          <w:rFonts w:ascii="Times New Roman" w:hAnsi="Times New Roman" w:cs="Times New Roman"/>
          <w:sz w:val="24"/>
          <w:szCs w:val="24"/>
        </w:rPr>
        <w:t>Соболев П.О. О влиянии степени раздробленности литосферы на сейсмичность //Докл. РАН. 1997. т. 352. № 4. с. 541</w:t>
      </w:r>
      <w:r w:rsidRPr="00136D39">
        <w:rPr>
          <w:rFonts w:ascii="Times New Roman" w:hAnsi="Times New Roman" w:cs="Times New Roman"/>
          <w:bCs/>
          <w:sz w:val="24"/>
          <w:szCs w:val="24"/>
        </w:rPr>
        <w:t>–</w:t>
      </w:r>
      <w:r w:rsidRPr="00136D39">
        <w:rPr>
          <w:rFonts w:ascii="Times New Roman" w:hAnsi="Times New Roman" w:cs="Times New Roman"/>
          <w:sz w:val="24"/>
          <w:szCs w:val="24"/>
        </w:rPr>
        <w:t>544.</w:t>
      </w:r>
    </w:p>
    <w:p w:rsidR="00076BEA" w:rsidRPr="00136D39" w:rsidRDefault="00076BEA" w:rsidP="00076BEA">
      <w:pPr>
        <w:tabs>
          <w:tab w:val="left" w:pos="434"/>
          <w:tab w:val="num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</w:t>
      </w:r>
      <w:r w:rsidRPr="00136D39">
        <w:rPr>
          <w:rFonts w:ascii="Times New Roman" w:hAnsi="Times New Roman" w:cs="Times New Roman"/>
          <w:sz w:val="24"/>
          <w:szCs w:val="24"/>
        </w:rPr>
        <w:t xml:space="preserve">Трифонов В.Г., Кожурин А.И., Лукина Н.В. Изучение и картирование активных разломов </w:t>
      </w:r>
      <w:r w:rsidRPr="00136D39">
        <w:rPr>
          <w:rFonts w:ascii="Times New Roman" w:hAnsi="Times New Roman" w:cs="Times New Roman"/>
          <w:bCs/>
          <w:sz w:val="24"/>
          <w:szCs w:val="24"/>
        </w:rPr>
        <w:t>// Сейсмичность и сейсмическое районирование Северной Евразии. 1993. Вып. 1. с. 196–205.</w:t>
      </w:r>
    </w:p>
    <w:p w:rsidR="00076BEA" w:rsidRPr="00136D39" w:rsidRDefault="00076BEA" w:rsidP="00076BEA">
      <w:pPr>
        <w:tabs>
          <w:tab w:val="left" w:pos="434"/>
          <w:tab w:val="num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18. </w:t>
      </w:r>
      <w:r w:rsidRPr="00136D39">
        <w:rPr>
          <w:rFonts w:ascii="Times New Roman" w:hAnsi="Times New Roman" w:cs="Times New Roman"/>
          <w:sz w:val="24"/>
          <w:szCs w:val="24"/>
        </w:rPr>
        <w:t>Шерман С.И., Демьянович В.М., Злогодухова О.Г. Разломно–блоковая структура Монголо-Байкальского региона и сильные землетрясения // Геодинамическая эволюция литосферы Центрально-Азиатского подвижного пояса (от океана к континенту): Материалы совещания. Вып. 4 – Иркутск: Институт земной коры СО РАН, 2006. т. 2. с. 214</w:t>
      </w:r>
      <w:r w:rsidRPr="00136D39">
        <w:rPr>
          <w:rFonts w:ascii="Times New Roman" w:hAnsi="Times New Roman" w:cs="Times New Roman"/>
          <w:bCs/>
          <w:sz w:val="24"/>
          <w:szCs w:val="24"/>
        </w:rPr>
        <w:t>–</w:t>
      </w:r>
      <w:r w:rsidRPr="00136D39">
        <w:rPr>
          <w:rFonts w:ascii="Times New Roman" w:hAnsi="Times New Roman" w:cs="Times New Roman"/>
          <w:sz w:val="24"/>
          <w:szCs w:val="24"/>
        </w:rPr>
        <w:t>218.</w:t>
      </w:r>
    </w:p>
    <w:p w:rsidR="00076BEA" w:rsidRPr="00136D39" w:rsidRDefault="00076BEA" w:rsidP="00076BEA">
      <w:pPr>
        <w:tabs>
          <w:tab w:val="left" w:pos="434"/>
          <w:tab w:val="num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19. </w:t>
      </w:r>
      <w:r w:rsidRPr="00136D39">
        <w:rPr>
          <w:rFonts w:ascii="Times New Roman" w:hAnsi="Times New Roman" w:cs="Times New Roman"/>
          <w:sz w:val="24"/>
          <w:szCs w:val="24"/>
        </w:rPr>
        <w:t>Шерман С.И., Сорокин А.П., Савитский В.А. Новые методы классификации сейсмоактивных разломов литосферы по индексу сейсмичности //Докл. РАН. 2005. т. 403. № 3. с. 1</w:t>
      </w:r>
      <w:r w:rsidRPr="00136D39">
        <w:rPr>
          <w:rFonts w:ascii="Times New Roman" w:hAnsi="Times New Roman" w:cs="Times New Roman"/>
          <w:bCs/>
          <w:sz w:val="24"/>
          <w:szCs w:val="24"/>
        </w:rPr>
        <w:t>–</w:t>
      </w:r>
      <w:r w:rsidRPr="00136D39">
        <w:rPr>
          <w:rFonts w:ascii="Times New Roman" w:hAnsi="Times New Roman" w:cs="Times New Roman"/>
          <w:sz w:val="24"/>
          <w:szCs w:val="24"/>
        </w:rPr>
        <w:t>4.</w:t>
      </w:r>
    </w:p>
    <w:p w:rsidR="00076BEA" w:rsidRPr="00136D39" w:rsidRDefault="00076BEA" w:rsidP="00076BEA">
      <w:pPr>
        <w:tabs>
          <w:tab w:val="left" w:pos="434"/>
          <w:tab w:val="num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 xml:space="preserve">20. </w:t>
      </w:r>
      <w:r w:rsidRPr="00136D39">
        <w:rPr>
          <w:rFonts w:ascii="Times New Roman" w:hAnsi="Times New Roman" w:cs="Times New Roman"/>
          <w:sz w:val="24"/>
          <w:szCs w:val="24"/>
        </w:rPr>
        <w:t xml:space="preserve">Ярмухамедов А.Р., Ирушкин С.А., Умурзаков Р.А., Сатаров А.С. Амплитуды тектонических движений и структурная зональность Каржантауского разлома (Узбекистан) // Геология и минеральные ресурсы. </w:t>
      </w:r>
      <w:r w:rsidRPr="00136D39">
        <w:rPr>
          <w:rFonts w:ascii="Times New Roman" w:hAnsi="Times New Roman" w:cs="Times New Roman"/>
          <w:sz w:val="24"/>
          <w:szCs w:val="24"/>
          <w:lang w:val="fr-FR"/>
        </w:rPr>
        <w:t>2000. № 4.</w:t>
      </w:r>
      <w:r w:rsidRPr="00136D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6BEA" w:rsidRPr="00136D39" w:rsidRDefault="00076BEA" w:rsidP="00076BEA">
      <w:pPr>
        <w:tabs>
          <w:tab w:val="left" w:pos="434"/>
          <w:tab w:val="num" w:pos="540"/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5934">
        <w:rPr>
          <w:rFonts w:ascii="Times New Roman" w:hAnsi="Times New Roman" w:cs="Times New Roman"/>
          <w:sz w:val="24"/>
          <w:szCs w:val="24"/>
          <w:lang w:val="en-US"/>
        </w:rPr>
        <w:t xml:space="preserve">21. </w:t>
      </w:r>
      <w:r w:rsidRPr="00136D39">
        <w:rPr>
          <w:rFonts w:ascii="Times New Roman" w:hAnsi="Times New Roman" w:cs="Times New Roman"/>
          <w:sz w:val="24"/>
          <w:szCs w:val="24"/>
          <w:lang w:val="en-US"/>
        </w:rPr>
        <w:t>Levi</w:t>
      </w:r>
      <w:r w:rsidRPr="005A59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36D39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5A593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36D39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5A5934">
        <w:rPr>
          <w:rFonts w:ascii="Times New Roman" w:hAnsi="Times New Roman" w:cs="Times New Roman"/>
          <w:sz w:val="24"/>
          <w:szCs w:val="24"/>
          <w:lang w:val="en-US"/>
        </w:rPr>
        <w:t xml:space="preserve">., </w:t>
      </w:r>
      <w:r w:rsidRPr="00136D39">
        <w:rPr>
          <w:rFonts w:ascii="Times New Roman" w:hAnsi="Times New Roman" w:cs="Times New Roman"/>
          <w:sz w:val="24"/>
          <w:szCs w:val="24"/>
          <w:lang w:val="en-US"/>
        </w:rPr>
        <w:t>Sherman</w:t>
      </w:r>
      <w:r w:rsidRPr="005A59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36D3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A593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36D39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A5934"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  <w:r w:rsidRPr="00136D39">
        <w:rPr>
          <w:rFonts w:ascii="Times New Roman" w:hAnsi="Times New Roman" w:cs="Times New Roman"/>
          <w:sz w:val="24"/>
          <w:szCs w:val="24"/>
          <w:lang w:val="fr-FR"/>
        </w:rPr>
        <w:t xml:space="preserve">Applied geodynamic analysis // Musee Royal De L'Afrique centrale. – Tervuren, Belgique Annales, Sciences Geologiques. 1995.Vol. 100. </w:t>
      </w:r>
      <w:r w:rsidRPr="00136D39">
        <w:rPr>
          <w:rFonts w:ascii="Times New Roman" w:hAnsi="Times New Roman" w:cs="Times New Roman"/>
          <w:sz w:val="24"/>
          <w:szCs w:val="24"/>
          <w:lang w:val="en-US"/>
        </w:rPr>
        <w:t>133 p.</w:t>
      </w:r>
    </w:p>
    <w:p w:rsidR="00076BEA" w:rsidRPr="00136D39" w:rsidRDefault="00076BEA" w:rsidP="00076BEA">
      <w:pPr>
        <w:tabs>
          <w:tab w:val="left" w:pos="434"/>
          <w:tab w:val="num" w:pos="540"/>
          <w:tab w:val="num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5934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22. </w:t>
      </w:r>
      <w:r w:rsidRPr="00136D39">
        <w:rPr>
          <w:rFonts w:ascii="Times New Roman" w:hAnsi="Times New Roman" w:cs="Times New Roman"/>
          <w:sz w:val="24"/>
          <w:szCs w:val="24"/>
          <w:lang w:val="en-US"/>
        </w:rPr>
        <w:t>Sherman S.I., Dem’yanovich V.M, Lysak S.V. Active faults, seismicity and fracturing in the lithosphere of the Baikal rift system // Tectonophysics. 2004. V. 380. № 3–4. P. 261–272.</w:t>
      </w:r>
    </w:p>
    <w:p w:rsidR="00076BEA" w:rsidRPr="00136D39" w:rsidRDefault="00076BEA" w:rsidP="00076BEA">
      <w:pPr>
        <w:tabs>
          <w:tab w:val="left" w:pos="434"/>
          <w:tab w:val="num" w:pos="5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A5934">
        <w:rPr>
          <w:rFonts w:ascii="Times New Roman" w:hAnsi="Times New Roman" w:cs="Times New Roman"/>
          <w:sz w:val="24"/>
          <w:szCs w:val="24"/>
          <w:lang w:val="en-US"/>
        </w:rPr>
        <w:t xml:space="preserve">23. </w:t>
      </w:r>
      <w:r w:rsidRPr="00136D39">
        <w:rPr>
          <w:rFonts w:ascii="Times New Roman" w:hAnsi="Times New Roman" w:cs="Times New Roman"/>
          <w:sz w:val="24"/>
          <w:szCs w:val="24"/>
          <w:lang w:val="en-US"/>
        </w:rPr>
        <w:t>Tripp Gerard I., Vearncombe Julian R. Fault/fracture density and mineralization: a contouring method for targeting in gold exploration // J. Struct. Geol. 2004. Vol. 26. № 6–7. P. 1087–1108.</w:t>
      </w:r>
    </w:p>
    <w:p w:rsidR="0003006C" w:rsidRDefault="0003006C">
      <w:bookmarkStart w:id="1" w:name="_GoBack"/>
      <w:bookmarkEnd w:id="1"/>
    </w:p>
    <w:sectPr w:rsidR="00030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088" w:rsidRDefault="003E5088" w:rsidP="00076BEA">
      <w:pPr>
        <w:spacing w:after="0" w:line="240" w:lineRule="auto"/>
      </w:pPr>
      <w:r>
        <w:separator/>
      </w:r>
    </w:p>
  </w:endnote>
  <w:endnote w:type="continuationSeparator" w:id="0">
    <w:p w:rsidR="003E5088" w:rsidRDefault="003E5088" w:rsidP="00076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088" w:rsidRDefault="003E5088" w:rsidP="00076BEA">
      <w:pPr>
        <w:spacing w:after="0" w:line="240" w:lineRule="auto"/>
      </w:pPr>
      <w:r>
        <w:separator/>
      </w:r>
    </w:p>
  </w:footnote>
  <w:footnote w:type="continuationSeparator" w:id="0">
    <w:p w:rsidR="003E5088" w:rsidRDefault="003E5088" w:rsidP="00076BEA">
      <w:pPr>
        <w:spacing w:after="0" w:line="240" w:lineRule="auto"/>
      </w:pPr>
      <w:r>
        <w:continuationSeparator/>
      </w:r>
    </w:p>
  </w:footnote>
  <w:footnote w:id="1">
    <w:p w:rsidR="00076BEA" w:rsidRPr="00641CAB" w:rsidRDefault="00076BEA" w:rsidP="00076BEA">
      <w:pPr>
        <w:pStyle w:val="a3"/>
        <w:rPr>
          <w:rFonts w:ascii="Times New Roman" w:hAnsi="Times New Roman" w:cs="Times New Roman"/>
          <w:lang w:val="en-US"/>
        </w:rPr>
      </w:pPr>
      <w:r w:rsidRPr="00641CAB">
        <w:rPr>
          <w:rStyle w:val="a5"/>
          <w:rFonts w:ascii="Times New Roman" w:hAnsi="Times New Roman" w:cs="Times New Roman"/>
        </w:rPr>
        <w:t>*</w:t>
      </w:r>
      <w:r w:rsidRPr="00641CAB">
        <w:rPr>
          <w:rFonts w:ascii="Times New Roman" w:hAnsi="Times New Roman" w:cs="Times New Roman"/>
        </w:rPr>
        <w:t xml:space="preserve"> Соавторы О.Г. Злогодухова, В.М. Демьянович. Геология, поиски и разведка рудных месторождений. Изв. Сиб. отд-ния Секции наук о Земле РАЕН. – Иркутск, 2007. Вып. 5(31). – С. 67–76.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FE7"/>
    <w:rsid w:val="0003006C"/>
    <w:rsid w:val="00076BEA"/>
    <w:rsid w:val="003E5088"/>
    <w:rsid w:val="0046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38A9CA8-2D23-4CB1-9CA4-81E1EC1A0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6B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076BEA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076BEA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076BEA"/>
    <w:rPr>
      <w:vertAlign w:val="superscript"/>
    </w:rPr>
  </w:style>
  <w:style w:type="table" w:customStyle="1" w:styleId="1">
    <w:name w:val="Сетка таблицы1"/>
    <w:basedOn w:val="a1"/>
    <w:next w:val="a6"/>
    <w:rsid w:val="00076B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rsid w:val="00076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3852</Words>
  <Characters>21960</Characters>
  <Application>Microsoft Office Word</Application>
  <DocSecurity>0</DocSecurity>
  <Lines>183</Lines>
  <Paragraphs>51</Paragraphs>
  <ScaleCrop>false</ScaleCrop>
  <Company/>
  <LinksUpToDate>false</LinksUpToDate>
  <CharactersWithSpaces>25761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k-250</dc:creator>
  <cp:keywords/>
  <dc:description/>
  <cp:lastModifiedBy>k-250</cp:lastModifiedBy>
  <cp:revision>2</cp:revision>
  <dcterms:created xsi:type="dcterms:W3CDTF">2017-03-10T02:21:00Z</dcterms:created>
  <dcterms:modified xsi:type="dcterms:W3CDTF">2017-03-10T02:21:00Z</dcterms:modified>
</cp:coreProperties>
</file>