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4B6" w:rsidRPr="007857C5" w:rsidRDefault="005054B6" w:rsidP="005054B6">
      <w:pPr>
        <w:ind w:firstLine="709"/>
        <w:jc w:val="center"/>
        <w:rPr>
          <w:b/>
          <w:bCs/>
        </w:rPr>
      </w:pPr>
      <w:r w:rsidRPr="007857C5">
        <w:rPr>
          <w:b/>
          <w:bCs/>
        </w:rPr>
        <w:t>СОВРЕМЕННАЯ АКТИВНОСТЬ ВНУТРИПЛИТНЫХ РАЗЛОМОВ ЛИТОСФЕРЫ ЦЕНТРАЛЬНОЙ АЗИИ НА ОСНОВЕ СЕЙСМОМОНИТОРИНГА</w:t>
      </w:r>
      <w:r>
        <w:rPr>
          <w:rStyle w:val="a5"/>
          <w:b/>
          <w:bCs/>
        </w:rPr>
        <w:footnoteReference w:customMarkFollows="1" w:id="1"/>
        <w:t>*</w:t>
      </w:r>
    </w:p>
    <w:p w:rsidR="005054B6" w:rsidRDefault="005054B6" w:rsidP="005054B6">
      <w:pPr>
        <w:ind w:firstLine="709"/>
        <w:jc w:val="both"/>
        <w:rPr>
          <w:bCs/>
        </w:rPr>
      </w:pP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В геологической истории Центральной Азии выделяются главные эпохи активизации геолого-тектонических процессов, фиксируемые по стратиграфическим, магматическим и структурным маркерам, а также различными вариантами методов анализа радиоактивных элементов. Они свидетельствуют об определенной периодизации геотектоническ</w:t>
      </w:r>
      <w:r>
        <w:rPr>
          <w:bCs/>
        </w:rPr>
        <w:t>ой активности. Их длительность, характерная</w:t>
      </w:r>
      <w:r w:rsidRPr="007857C5">
        <w:rPr>
          <w:bCs/>
        </w:rPr>
        <w:t xml:space="preserve"> для большинства тектонических процессов на Земле, име</w:t>
      </w:r>
      <w:r>
        <w:rPr>
          <w:bCs/>
        </w:rPr>
        <w:t>е</w:t>
      </w:r>
      <w:r w:rsidRPr="007857C5">
        <w:rPr>
          <w:bCs/>
        </w:rPr>
        <w:t>т тенденцию к сокращению</w:t>
      </w:r>
      <w:r>
        <w:rPr>
          <w:bCs/>
        </w:rPr>
        <w:t>, а вероятная периодичность – к увеличению частоты в интервалах времени от начала фанерозоя к настоящему периоду</w:t>
      </w:r>
      <w:r w:rsidRPr="007857C5">
        <w:rPr>
          <w:bCs/>
        </w:rPr>
        <w:t>. Эта общая направленность и ускоренность развития геодинамических проц</w:t>
      </w:r>
      <w:r>
        <w:rPr>
          <w:bCs/>
        </w:rPr>
        <w:t>ессов в литосфере Земли известны</w:t>
      </w:r>
      <w:r w:rsidRPr="007857C5">
        <w:rPr>
          <w:bCs/>
        </w:rPr>
        <w:t xml:space="preserve">. Она определяется комплексным воздействием на литосферу трех </w:t>
      </w:r>
      <w:r>
        <w:rPr>
          <w:bCs/>
        </w:rPr>
        <w:t xml:space="preserve">групп факторов: </w:t>
      </w:r>
      <w:r w:rsidRPr="007857C5">
        <w:rPr>
          <w:bCs/>
        </w:rPr>
        <w:t>1) внутренними медленно изменяющимися кинематическими и тепл</w:t>
      </w:r>
      <w:r>
        <w:rPr>
          <w:bCs/>
        </w:rPr>
        <w:t xml:space="preserve">овыми параметрами астеносферы, </w:t>
      </w:r>
      <w:r w:rsidRPr="007857C5">
        <w:rPr>
          <w:bCs/>
        </w:rPr>
        <w:t>2) внешними быстро изменяющимися процессами в ноосфере, контролируемыми во многом вариациями</w:t>
      </w:r>
      <w:r>
        <w:rPr>
          <w:bCs/>
        </w:rPr>
        <w:t xml:space="preserve"> солнечной активности, а также </w:t>
      </w:r>
      <w:r w:rsidRPr="007857C5">
        <w:rPr>
          <w:bCs/>
        </w:rPr>
        <w:t>3) сложными параметрами вращения Земли</w:t>
      </w:r>
      <w:r>
        <w:rPr>
          <w:bCs/>
        </w:rPr>
        <w:t xml:space="preserve"> как</w:t>
      </w:r>
      <w:r w:rsidRPr="007857C5">
        <w:rPr>
          <w:bCs/>
        </w:rPr>
        <w:t xml:space="preserve"> по орбите в солнечной системе</w:t>
      </w:r>
      <w:r>
        <w:rPr>
          <w:bCs/>
        </w:rPr>
        <w:t>, так</w:t>
      </w:r>
      <w:r w:rsidRPr="007857C5">
        <w:rPr>
          <w:bCs/>
        </w:rPr>
        <w:t xml:space="preserve"> и вокруг своей оси. Обозначенные группы факторов на многообразный комплекс геолого-геофизических процессов воздействуют не одинаково. Так</w:t>
      </w:r>
      <w:r>
        <w:rPr>
          <w:bCs/>
        </w:rPr>
        <w:t>,</w:t>
      </w:r>
      <w:r w:rsidRPr="007857C5">
        <w:rPr>
          <w:bCs/>
        </w:rPr>
        <w:t xml:space="preserve"> магматические проявления в большей степени связаны с процессами в мантии и астеносфере, их активизация и периодичность характеризуются сотнями тысяч и миллионами лет, а в локальных объемах литосферы – периодичность магматических экструзий сокращается до годов и редко месяцев. Другие процессы, например, сейсмичность, результируют комплексное воздействие на литосферу всей трехкомпонентной группы факторов. При этом положение сейсмических поясов на земном шаре определяется структурными межплитными границами в литосфере, отражающими   закономерности организации термогравитационных конвективных течений мантийных масс в масштабах геохронологической шкалы времени (миллионы и сотни тысяч лет), а собственно землетрясения (как отдельные тектонические события в сейсмических поясах) характеризуются квазихаотическим пространственно-временным распределением в масштабах реального времени (годы, месяцы и даже дни). Такое современное разделение событий в пространственно «стабильных» границах сейсмических поясов планеты свидетельствует о многокомпонентных триггерных механизмах, способствующих реализации напряжений в неоднородной разломно-блоковой среде литосферы [1,2]. Разрядка напряжений происходит в первую очередь в местах их концентрации – разломах в периоды их активизации. Отсюда, активизация консервативных в пространстве разломов литосферы происходит во много раз чаще, чем известные нам маркированные во времени геотектонические активизации даже в пределах кайнозоя.  Последний тезис и его практические следствия аргументируются на базе анализа современной активности внутриплитных разломов Центральной Азии.</w:t>
      </w: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Как правило, активными разломами считаются разрывы, по</w:t>
      </w:r>
      <w:r>
        <w:rPr>
          <w:bCs/>
        </w:rPr>
        <w:t xml:space="preserve"> которым зафиксированы подвижки</w:t>
      </w:r>
      <w:r w:rsidRPr="007857C5">
        <w:rPr>
          <w:bCs/>
        </w:rPr>
        <w:t xml:space="preserve"> или с которыми связаны те или иные эндогенные или экзогенные процессы, произошедшие в течение последних ста или несколько более лет [3, 4 и др.]. Представить себе разную роль консервативных в пространстве геологических структур на различных временных этапах их развития помогает нестационарная модель разломов [5]. </w:t>
      </w:r>
      <w:r>
        <w:rPr>
          <w:bCs/>
        </w:rPr>
        <w:t>С использованием её концептуальной сути</w:t>
      </w:r>
      <w:r w:rsidRPr="007857C5">
        <w:rPr>
          <w:bCs/>
        </w:rPr>
        <w:t xml:space="preserve"> проведена оценка современной активности разломов Центральной Азии по магнитудному индексу сейсмической активности (МИСА) разломов ξ</w:t>
      </w:r>
      <w:r w:rsidRPr="00E772CB">
        <w:rPr>
          <w:bCs/>
          <w:vertAlign w:val="subscript"/>
        </w:rPr>
        <w:t>k</w:t>
      </w:r>
      <w:r w:rsidRPr="007857C5">
        <w:rPr>
          <w:bCs/>
        </w:rPr>
        <w:t>. Под МИСА разломов следует понимать значение класса максимального сейсмического события k</w:t>
      </w:r>
      <w:r w:rsidRPr="00906EA3">
        <w:rPr>
          <w:bCs/>
          <w:vertAlign w:val="subscript"/>
        </w:rPr>
        <w:t>max</w:t>
      </w:r>
      <w:r w:rsidRPr="007857C5">
        <w:rPr>
          <w:bCs/>
        </w:rPr>
        <w:t xml:space="preserve"> (k = lg E, дж; k = 4+1.8M [6]), приходящегося на длину разлома L (км) при принятой ширине области его динамического влияния М (км) за определенный </w:t>
      </w:r>
      <w:r w:rsidRPr="007857C5">
        <w:rPr>
          <w:bCs/>
        </w:rPr>
        <w:lastRenderedPageBreak/>
        <w:t>промежуток времени t (годы). Эта величина оценивается по выражению: ξ</w:t>
      </w:r>
      <w:r w:rsidRPr="00E772CB">
        <w:rPr>
          <w:bCs/>
          <w:vertAlign w:val="subscript"/>
        </w:rPr>
        <w:t>k</w:t>
      </w:r>
      <w:r w:rsidRPr="007857C5">
        <w:rPr>
          <w:bCs/>
        </w:rPr>
        <w:t xml:space="preserve"> = k</w:t>
      </w:r>
      <w:r w:rsidRPr="00E772CB">
        <w:rPr>
          <w:bCs/>
          <w:vertAlign w:val="subscript"/>
        </w:rPr>
        <w:t>max</w:t>
      </w:r>
      <w:r>
        <w:rPr>
          <w:bCs/>
        </w:rPr>
        <w:t xml:space="preserve"> (М, k, t)</w:t>
      </w:r>
      <w:r w:rsidRPr="007857C5">
        <w:rPr>
          <w:bCs/>
        </w:rPr>
        <w:t>, где k</w:t>
      </w:r>
      <w:r w:rsidRPr="00E772CB">
        <w:rPr>
          <w:bCs/>
          <w:vertAlign w:val="subscript"/>
        </w:rPr>
        <w:t>max</w:t>
      </w:r>
      <w:r w:rsidRPr="00906EA3">
        <w:rPr>
          <w:bCs/>
          <w:vertAlign w:val="subscript"/>
        </w:rPr>
        <w:t>(t)</w:t>
      </w:r>
      <w:r w:rsidRPr="007857C5">
        <w:rPr>
          <w:bCs/>
        </w:rPr>
        <w:t xml:space="preserve"> – максимальный класс землетрясения (или его максимальная магнитуда) в области динамического влияния разлома М за заданный промежуток времени t. Ширина области динамического влияния разлома М</w:t>
      </w:r>
      <w:r>
        <w:rPr>
          <w:bCs/>
        </w:rPr>
        <w:t xml:space="preserve"> </w:t>
      </w:r>
      <w:r w:rsidRPr="007857C5">
        <w:rPr>
          <w:bCs/>
        </w:rPr>
        <w:t>о</w:t>
      </w:r>
      <w:r>
        <w:rPr>
          <w:bCs/>
        </w:rPr>
        <w:t>ценивается по уравнению М=bL</w:t>
      </w:r>
      <w:r w:rsidRPr="007857C5">
        <w:rPr>
          <w:bCs/>
        </w:rPr>
        <w:t>, где L – длина разломов, км; b – коэффициент пропорциональности, зависящий от L и по эмпирическим данным изменяющийся от 0.03 до 0.09 соответственно для трансрегиональных и локальных разломов. Поскольку глубина проникновения разломов хорошо коррелирует с их длиной [7], постольку вычисленный таким образом МИСА характеризует временнóе изменение максимальных значений сейсмической активности протяженных, линейно вытянутых «приразломных» объемов горных масс, вовлеченных в деформационный процесс при формировании и/или тектонической активизации конкретных дизъюнктивов. Использование МИСА позволило на численной основе классифицировать разломную тектонику Центральной Азии, охватывающей территории юга Восточной Сибири и Монголии, по степени  современной геодинамической активности.</w:t>
      </w: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По МИСА за инструментальный период наблюдений разломы Центральной Азии классифицируются на три группы: весьма активные с ξ</w:t>
      </w:r>
      <w:r w:rsidRPr="00E772CB">
        <w:rPr>
          <w:bCs/>
          <w:vertAlign w:val="subscript"/>
        </w:rPr>
        <w:t>k</w:t>
      </w:r>
      <w:r w:rsidRPr="007857C5">
        <w:rPr>
          <w:bCs/>
        </w:rPr>
        <w:t xml:space="preserve"> ≥ 12; активные  с ξ</w:t>
      </w:r>
      <w:r w:rsidRPr="00E772CB">
        <w:rPr>
          <w:bCs/>
          <w:vertAlign w:val="subscript"/>
        </w:rPr>
        <w:t>k</w:t>
      </w:r>
      <w:r>
        <w:rPr>
          <w:bCs/>
        </w:rPr>
        <w:t xml:space="preserve"> = 10 - 11</w:t>
      </w:r>
      <w:r w:rsidRPr="007857C5">
        <w:rPr>
          <w:bCs/>
        </w:rPr>
        <w:t xml:space="preserve">  и  слабоактивные с ξ</w:t>
      </w:r>
      <w:r w:rsidRPr="00E772CB">
        <w:rPr>
          <w:bCs/>
          <w:vertAlign w:val="subscript"/>
        </w:rPr>
        <w:t>k</w:t>
      </w:r>
      <w:r w:rsidRPr="007857C5">
        <w:rPr>
          <w:bCs/>
        </w:rPr>
        <w:t xml:space="preserve"> ≤ 8 – 9 (рис. 1). Нетрудно заметить повышение их плотности в осевых частях сложной по конфигурации зон современной деструкции литосферы [8]. Сравнение полученной картины с тектоническими картами, в том числе с картой активных разломов части характеризуемой территории [9],</w:t>
      </w:r>
      <w:r>
        <w:rPr>
          <w:bCs/>
        </w:rPr>
        <w:t xml:space="preserve"> </w:t>
      </w:r>
      <w:r w:rsidRPr="007857C5">
        <w:rPr>
          <w:bCs/>
        </w:rPr>
        <w:t xml:space="preserve">показывает, что на современном этапе тектонического развития во временном интервале как минимум в полстолетия в Центральной Азии происходит селективная сейсмическая активизация разломов. Однако и она не остается постоянной. </w:t>
      </w:r>
    </w:p>
    <w:p w:rsidR="005054B6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По показанным на рис. 1 сечениям исследована короткопериодная сейсмическая активизация разломов. Для иллюстрации выбрано сечение 4 через центральную часть Байкальской рифтовой системы и сечение 16 для территории Монголии (см. рис. 1). Для областей динамического влияния разломов, пересекаемых сечениями, оценена повторяемость сейсмических событий 10 и 12 энергетических классов. По сумме наблюдений регистрируется асинхронная квазипериодичность сейсмической активизации по максимальным значе</w:t>
      </w:r>
      <w:r>
        <w:rPr>
          <w:bCs/>
        </w:rPr>
        <w:t>ниям МИСА для разных разломов, т</w:t>
      </w:r>
      <w:r w:rsidRPr="007857C5">
        <w:rPr>
          <w:bCs/>
        </w:rPr>
        <w:t>о есть, для области динамического влияния конкретного сейсмически активного разлома в принятых энергетических классах землетрясений характерна своя индивидуальная закономерность сейсмического процесса. Она заключается в различных временны'х границах условного начала периода активизации. Отсюда и несовпадение экстремальных точек квазиволновой картины колебаний значений ξ</w:t>
      </w:r>
      <w:r w:rsidRPr="00E772CB">
        <w:rPr>
          <w:bCs/>
          <w:vertAlign w:val="subscript"/>
        </w:rPr>
        <w:t>k</w:t>
      </w:r>
      <w:r w:rsidRPr="007857C5">
        <w:rPr>
          <w:bCs/>
        </w:rPr>
        <w:t xml:space="preserve"> для разных разломов. Более того, не для всех разломов четко определяется временная периодичность активизациии. Для ее уточнения по тем же и другим разломам 4</w:t>
      </w:r>
      <w:r>
        <w:rPr>
          <w:bCs/>
        </w:rPr>
        <w:t>-го</w:t>
      </w:r>
      <w:r w:rsidRPr="007857C5">
        <w:rPr>
          <w:bCs/>
        </w:rPr>
        <w:t xml:space="preserve"> и 16</w:t>
      </w:r>
      <w:r>
        <w:rPr>
          <w:bCs/>
        </w:rPr>
        <w:t>-го</w:t>
      </w:r>
      <w:r w:rsidRPr="007857C5">
        <w:rPr>
          <w:bCs/>
        </w:rPr>
        <w:t xml:space="preserve"> сечений были оценены временные периоды максимальной активизации по наиболее представительным землетрясениям 10 и 12 классов, один из примеров которых показан на рис. 2. В результате обработки подобных данных для всех разломов по сечениям  4 и 16 для 10 класса временно'й период активизации составил: среднее значение 19.95 (лет); стандартное отклонение  ± 2.96 (лет); частота событий 0.052 год</w:t>
      </w:r>
      <w:r w:rsidRPr="00906EA3">
        <w:rPr>
          <w:bCs/>
          <w:vertAlign w:val="superscript"/>
        </w:rPr>
        <w:t>-1</w:t>
      </w:r>
      <w:r w:rsidRPr="007857C5">
        <w:rPr>
          <w:bCs/>
        </w:rPr>
        <w:t>; для 12 класса – среднее значение 20.9 (лет); стандартное отклонение  ± 2.75 (лет); частота событий 0.05 год</w:t>
      </w:r>
      <w:r w:rsidRPr="00906EA3">
        <w:rPr>
          <w:bCs/>
          <w:vertAlign w:val="superscript"/>
        </w:rPr>
        <w:t>-1</w:t>
      </w:r>
      <w:r w:rsidRPr="007857C5">
        <w:rPr>
          <w:bCs/>
        </w:rPr>
        <w:t>. Необходимо обратить внимание на непропорционально малые отличия между периодами землетрясений 10 и 12 классов, а также на некоторые различия в продолжительности периодов между событиями одинаковых классов, но реализующихся в разных геодинамических обстановках: при напряжениях растяжения в БРС и сдвиговых – на территории Монголии.</w:t>
      </w:r>
    </w:p>
    <w:p w:rsidR="005054B6" w:rsidRDefault="005054B6" w:rsidP="005054B6">
      <w:pPr>
        <w:jc w:val="both"/>
        <w:rPr>
          <w:bCs/>
        </w:rPr>
      </w:pPr>
      <w:r w:rsidRPr="00E772CB">
        <w:rPr>
          <w:bCs/>
          <w:noProof/>
        </w:rPr>
        <w:lastRenderedPageBreak/>
        <w:drawing>
          <wp:inline distT="0" distB="0" distL="0" distR="0" wp14:anchorId="239195DB" wp14:editId="232EC282">
            <wp:extent cx="5939790" cy="4190423"/>
            <wp:effectExtent l="0" t="0" r="3810" b="635"/>
            <wp:docPr id="132" name="Рисунок 132" descr="D:\18НАУЧНАЯ РАБОТА\01СТАТЬИ\2017\ТРУДЫ\Шерман Рукописи по темам\ТЕМА 3\[345] Геодинамическая эволюция литосферы Центрально-Азиатского подвижного пояса, 2005, вып.3, т.2\Sherman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D:\18НАУЧНАЯ РАБОТА\01СТАТЬИ\2017\ТРУДЫ\Шерман Рукописи по темам\ТЕМА 3\[345] Геодинамическая эволюция литосферы Центрально-Азиатского подвижного пояса, 2005, вып.3, т.2\ShermanFi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B6" w:rsidRDefault="005054B6" w:rsidP="005054B6">
      <w:pPr>
        <w:ind w:firstLine="709"/>
        <w:jc w:val="both"/>
        <w:rPr>
          <w:bCs/>
        </w:rPr>
      </w:pP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Рис. 1. Карта активных разломов Центральной Азии по магнитудному индексу сейсмической активности: 1 -  разломы с МИСА ≥ 12 (весьма активные); 2 -  разломы с МИСА 10 - 11 (активные); 3 -  разломы с МИСА ≤ 9</w:t>
      </w:r>
      <w:r>
        <w:rPr>
          <w:bCs/>
        </w:rPr>
        <w:t xml:space="preserve"> </w:t>
      </w:r>
      <w:r w:rsidRPr="007857C5">
        <w:rPr>
          <w:bCs/>
        </w:rPr>
        <w:t>(слабо активные); 4 -  положение сечений на карте и их номера; 5 -  номера разломов по каталогу.</w:t>
      </w:r>
    </w:p>
    <w:p w:rsidR="005054B6" w:rsidRPr="007857C5" w:rsidRDefault="005054B6" w:rsidP="005054B6">
      <w:pPr>
        <w:ind w:firstLine="709"/>
        <w:jc w:val="both"/>
        <w:rPr>
          <w:bCs/>
        </w:rPr>
      </w:pP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 xml:space="preserve"> Таким образом, современная активизация отдельных разломов характеризуется квазиволновой природой, ее периодичность разная, как для регионов с отличающимися геодинамическими условиями, так и для контролируемых разломами землетрясений различных энергетических классов. Это означает, что при</w:t>
      </w:r>
      <w:r>
        <w:rPr>
          <w:bCs/>
        </w:rPr>
        <w:t xml:space="preserve"> </w:t>
      </w:r>
      <w:r w:rsidRPr="007857C5">
        <w:rPr>
          <w:bCs/>
        </w:rPr>
        <w:t>короткопериодных реактивизациях разломов их энергетический потенциал может быть различным. Более того, следуя принципам актуализма, можно уверенно считать, что и в докайнозойские этапы развития разрывные структуры Центральной Азии характеризовались такой же интенсивной активностью.</w:t>
      </w: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 xml:space="preserve">Исследования выполнены при финансовой поддержке программ «Геодинамическая эволюция литосферы Центрально-Азиатского подвижного пояса (от океана к континенту)», «Физические основы и новые технологии среднесрочного прогноза землетрясений (применительно к сейсмоактивным зонам Сибири)», </w:t>
      </w:r>
      <w:r>
        <w:rPr>
          <w:bCs/>
        </w:rPr>
        <w:t xml:space="preserve">ИГ СО РАН </w:t>
      </w:r>
      <w:r w:rsidRPr="007857C5">
        <w:rPr>
          <w:bCs/>
        </w:rPr>
        <w:t>101</w:t>
      </w:r>
      <w:r>
        <w:rPr>
          <w:bCs/>
        </w:rPr>
        <w:t>/2003</w:t>
      </w:r>
      <w:r w:rsidRPr="007857C5">
        <w:rPr>
          <w:bCs/>
        </w:rPr>
        <w:t xml:space="preserve">, грантов РФФИ (04-05-64348, 05-05-64327).  </w:t>
      </w:r>
    </w:p>
    <w:p w:rsidR="005054B6" w:rsidRDefault="005054B6" w:rsidP="005054B6">
      <w:pPr>
        <w:jc w:val="both"/>
        <w:rPr>
          <w:bCs/>
        </w:rPr>
      </w:pPr>
      <w:r w:rsidRPr="00E772CB">
        <w:rPr>
          <w:bCs/>
          <w:noProof/>
        </w:rPr>
        <w:lastRenderedPageBreak/>
        <w:drawing>
          <wp:inline distT="0" distB="0" distL="0" distR="0" wp14:anchorId="53E8C7CC" wp14:editId="2445BD65">
            <wp:extent cx="5939790" cy="4068502"/>
            <wp:effectExtent l="0" t="0" r="3810" b="8255"/>
            <wp:docPr id="133" name="Рисунок 133" descr="D:\18НАУЧНАЯ РАБОТА\01СТАТЬИ\2017\ТРУДЫ\Шерман Рукописи по темам\ТЕМА 3\[345] Геодинамическая эволюция литосферы Центрально-Азиатского подвижного пояса, 2005, вып.3, т.2\Sherman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D:\18НАУЧНАЯ РАБОТА\01СТАТЬИ\2017\ТРУДЫ\Шерман Рукописи по темам\ТЕМА 3\[345] Геодинамическая эволюция литосферы Центрально-Азиатского подвижного пояса, 2005, вып.3, т.2\ShermanFi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B6" w:rsidRDefault="005054B6" w:rsidP="005054B6">
      <w:pPr>
        <w:ind w:firstLine="709"/>
        <w:jc w:val="both"/>
        <w:rPr>
          <w:bCs/>
        </w:rPr>
      </w:pPr>
    </w:p>
    <w:p w:rsidR="005054B6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Рис. 2. Периодичность изменений магнитудного индекса сейсмической активности по событиям 10 и 12 энергетических классов на примере двух удаленных друг от друга разломов Центральной Азии.</w:t>
      </w:r>
    </w:p>
    <w:p w:rsidR="005054B6" w:rsidRDefault="005054B6" w:rsidP="005054B6">
      <w:pPr>
        <w:ind w:firstLine="709"/>
        <w:jc w:val="both"/>
        <w:rPr>
          <w:bCs/>
        </w:rPr>
      </w:pPr>
    </w:p>
    <w:p w:rsidR="005054B6" w:rsidRPr="00E772CB" w:rsidRDefault="005054B6" w:rsidP="005054B6">
      <w:pPr>
        <w:ind w:firstLine="709"/>
        <w:jc w:val="center"/>
        <w:rPr>
          <w:b/>
          <w:bCs/>
        </w:rPr>
      </w:pPr>
      <w:r w:rsidRPr="00E772CB">
        <w:rPr>
          <w:b/>
          <w:bCs/>
        </w:rPr>
        <w:t>ЛИТЕРАТУРА</w:t>
      </w: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 xml:space="preserve">[1] Соболев Г.А., Пономарев. Физика землетрясений и предвестники. </w:t>
      </w:r>
      <w:r>
        <w:rPr>
          <w:bCs/>
        </w:rPr>
        <w:t>‒ М.: Наука, 2003.</w:t>
      </w:r>
      <w:r w:rsidRPr="007857C5">
        <w:rPr>
          <w:bCs/>
        </w:rPr>
        <w:t xml:space="preserve"> </w:t>
      </w:r>
      <w:r>
        <w:rPr>
          <w:bCs/>
        </w:rPr>
        <w:t xml:space="preserve">‒ </w:t>
      </w:r>
      <w:r w:rsidRPr="007857C5">
        <w:rPr>
          <w:bCs/>
        </w:rPr>
        <w:t>270 с.</w:t>
      </w: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[2]  Гольдин С.В. Дилатансия, переупаковка и землетрясения //</w:t>
      </w:r>
      <w:r>
        <w:rPr>
          <w:bCs/>
        </w:rPr>
        <w:t xml:space="preserve"> </w:t>
      </w:r>
      <w:r w:rsidRPr="007857C5">
        <w:rPr>
          <w:bCs/>
        </w:rPr>
        <w:t>Физика Земли</w:t>
      </w:r>
      <w:r>
        <w:rPr>
          <w:bCs/>
        </w:rPr>
        <w:t>.</w:t>
      </w:r>
      <w:r w:rsidRPr="007857C5">
        <w:rPr>
          <w:bCs/>
        </w:rPr>
        <w:t xml:space="preserve"> </w:t>
      </w:r>
      <w:r>
        <w:rPr>
          <w:bCs/>
        </w:rPr>
        <w:t xml:space="preserve">‒ </w:t>
      </w:r>
      <w:r w:rsidRPr="007857C5">
        <w:rPr>
          <w:bCs/>
        </w:rPr>
        <w:t>2004</w:t>
      </w:r>
      <w:r>
        <w:rPr>
          <w:bCs/>
        </w:rPr>
        <w:t>.</w:t>
      </w:r>
      <w:r w:rsidRPr="007857C5">
        <w:rPr>
          <w:bCs/>
        </w:rPr>
        <w:t xml:space="preserve"> </w:t>
      </w:r>
      <w:r>
        <w:rPr>
          <w:bCs/>
        </w:rPr>
        <w:t xml:space="preserve">‒ </w:t>
      </w:r>
      <w:r w:rsidRPr="007857C5">
        <w:rPr>
          <w:bCs/>
        </w:rPr>
        <w:t xml:space="preserve">№ 10. </w:t>
      </w:r>
      <w:r>
        <w:rPr>
          <w:bCs/>
        </w:rPr>
        <w:t>‒ С</w:t>
      </w:r>
      <w:r w:rsidRPr="007857C5">
        <w:rPr>
          <w:bCs/>
        </w:rPr>
        <w:t xml:space="preserve">. 37-54. </w:t>
      </w: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[3]  Несмеянов С.А. Введен</w:t>
      </w:r>
      <w:r>
        <w:rPr>
          <w:bCs/>
        </w:rPr>
        <w:t xml:space="preserve">ие в инженерную геотектонику. ‒ </w:t>
      </w:r>
      <w:r w:rsidRPr="007857C5">
        <w:rPr>
          <w:bCs/>
        </w:rPr>
        <w:t xml:space="preserve">М.: Научный мир. 2004.  </w:t>
      </w:r>
      <w:r>
        <w:rPr>
          <w:bCs/>
        </w:rPr>
        <w:t xml:space="preserve">‒ </w:t>
      </w:r>
      <w:r w:rsidRPr="007857C5">
        <w:rPr>
          <w:bCs/>
        </w:rPr>
        <w:t xml:space="preserve">216 с. </w:t>
      </w: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[4] Шерман С.И., Сорокин А.П., Савитский В.А. Новые методы классификации сейсмоактивных разломов литосферы по</w:t>
      </w:r>
      <w:r>
        <w:rPr>
          <w:bCs/>
        </w:rPr>
        <w:t xml:space="preserve"> индексу сейсмичности // ДАН.</w:t>
      </w:r>
      <w:r w:rsidRPr="007857C5">
        <w:rPr>
          <w:bCs/>
        </w:rPr>
        <w:t xml:space="preserve"> </w:t>
      </w:r>
      <w:r>
        <w:rPr>
          <w:bCs/>
        </w:rPr>
        <w:t>‒ 2005.</w:t>
      </w:r>
      <w:r w:rsidRPr="007857C5">
        <w:rPr>
          <w:bCs/>
        </w:rPr>
        <w:t xml:space="preserve"> </w:t>
      </w:r>
      <w:r>
        <w:rPr>
          <w:bCs/>
        </w:rPr>
        <w:t>‒ Т</w:t>
      </w:r>
      <w:r w:rsidRPr="007857C5">
        <w:rPr>
          <w:bCs/>
        </w:rPr>
        <w:t xml:space="preserve">. 401, №  3. </w:t>
      </w:r>
      <w:r>
        <w:rPr>
          <w:bCs/>
        </w:rPr>
        <w:t xml:space="preserve">‒ </w:t>
      </w:r>
      <w:r w:rsidRPr="007857C5">
        <w:rPr>
          <w:bCs/>
        </w:rPr>
        <w:t>С. 395-398.</w:t>
      </w: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[5] Шерман С.И. Нестационарная тектонофизическая модель разломов и ее применение для анализа сейсмического процесса в деструктивных зонах литос</w:t>
      </w:r>
      <w:r>
        <w:rPr>
          <w:bCs/>
        </w:rPr>
        <w:t>феры // Физическая мезомеханика.</w:t>
      </w:r>
      <w:r w:rsidRPr="007857C5">
        <w:rPr>
          <w:bCs/>
        </w:rPr>
        <w:t xml:space="preserve"> </w:t>
      </w:r>
      <w:r>
        <w:rPr>
          <w:bCs/>
        </w:rPr>
        <w:t>‒ 2005.</w:t>
      </w:r>
      <w:r w:rsidRPr="007857C5">
        <w:rPr>
          <w:bCs/>
        </w:rPr>
        <w:t xml:space="preserve"> </w:t>
      </w:r>
      <w:r>
        <w:rPr>
          <w:bCs/>
        </w:rPr>
        <w:t>‒ Т. 8, № 1.</w:t>
      </w:r>
      <w:r w:rsidRPr="007857C5">
        <w:rPr>
          <w:bCs/>
        </w:rPr>
        <w:t xml:space="preserve"> </w:t>
      </w:r>
      <w:r>
        <w:rPr>
          <w:bCs/>
        </w:rPr>
        <w:t xml:space="preserve">‒ </w:t>
      </w:r>
      <w:r w:rsidRPr="007857C5">
        <w:rPr>
          <w:bCs/>
        </w:rPr>
        <w:t>С. 71-80.</w:t>
      </w:r>
    </w:p>
    <w:p w:rsidR="005054B6" w:rsidRPr="00906EA3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[6]  Ризниченко Ю</w:t>
      </w:r>
      <w:r>
        <w:rPr>
          <w:bCs/>
        </w:rPr>
        <w:t>.В. Проблемы сейсмологии. ‒ М.: Наука</w:t>
      </w:r>
      <w:r w:rsidRPr="007857C5">
        <w:rPr>
          <w:bCs/>
        </w:rPr>
        <w:t xml:space="preserve">. </w:t>
      </w:r>
      <w:r>
        <w:rPr>
          <w:bCs/>
        </w:rPr>
        <w:t xml:space="preserve">‒ </w:t>
      </w:r>
      <w:r w:rsidRPr="00906EA3">
        <w:rPr>
          <w:bCs/>
        </w:rPr>
        <w:t xml:space="preserve">1985. </w:t>
      </w:r>
      <w:r>
        <w:rPr>
          <w:bCs/>
        </w:rPr>
        <w:t xml:space="preserve">‒ </w:t>
      </w:r>
      <w:r w:rsidRPr="00906EA3">
        <w:rPr>
          <w:bCs/>
        </w:rPr>
        <w:t xml:space="preserve">408 </w:t>
      </w:r>
      <w:r w:rsidRPr="007857C5">
        <w:rPr>
          <w:bCs/>
        </w:rPr>
        <w:t>с</w:t>
      </w:r>
      <w:r w:rsidRPr="00906EA3">
        <w:rPr>
          <w:bCs/>
        </w:rPr>
        <w:t>.</w:t>
      </w:r>
    </w:p>
    <w:p w:rsidR="005054B6" w:rsidRPr="00906EA3" w:rsidRDefault="005054B6" w:rsidP="005054B6">
      <w:pPr>
        <w:ind w:firstLine="709"/>
        <w:jc w:val="both"/>
        <w:rPr>
          <w:bCs/>
        </w:rPr>
      </w:pPr>
      <w:r w:rsidRPr="005054B6">
        <w:rPr>
          <w:bCs/>
          <w:lang w:val="en-US"/>
        </w:rPr>
        <w:t xml:space="preserve">[7] </w:t>
      </w:r>
      <w:r w:rsidRPr="007857C5">
        <w:rPr>
          <w:bCs/>
          <w:lang w:val="en-US"/>
        </w:rPr>
        <w:t>Sherman</w:t>
      </w:r>
      <w:r w:rsidRPr="005054B6">
        <w:rPr>
          <w:bCs/>
          <w:lang w:val="en-US"/>
        </w:rPr>
        <w:t xml:space="preserve"> </w:t>
      </w:r>
      <w:r w:rsidRPr="007857C5">
        <w:rPr>
          <w:bCs/>
          <w:lang w:val="en-US"/>
        </w:rPr>
        <w:t>S</w:t>
      </w:r>
      <w:r w:rsidRPr="005054B6">
        <w:rPr>
          <w:bCs/>
          <w:lang w:val="en-US"/>
        </w:rPr>
        <w:t>.</w:t>
      </w:r>
      <w:r w:rsidRPr="007857C5">
        <w:rPr>
          <w:bCs/>
          <w:lang w:val="en-US"/>
        </w:rPr>
        <w:t>I</w:t>
      </w:r>
      <w:r w:rsidRPr="005054B6">
        <w:rPr>
          <w:bCs/>
          <w:lang w:val="en-US"/>
        </w:rPr>
        <w:t xml:space="preserve">. </w:t>
      </w:r>
      <w:r w:rsidRPr="007857C5">
        <w:rPr>
          <w:bCs/>
          <w:lang w:val="en-US"/>
        </w:rPr>
        <w:t>Faults</w:t>
      </w:r>
      <w:r w:rsidRPr="005054B6">
        <w:rPr>
          <w:bCs/>
          <w:lang w:val="en-US"/>
        </w:rPr>
        <w:t xml:space="preserve"> </w:t>
      </w:r>
      <w:r w:rsidRPr="007857C5">
        <w:rPr>
          <w:bCs/>
          <w:lang w:val="en-US"/>
        </w:rPr>
        <w:t>of</w:t>
      </w:r>
      <w:r w:rsidRPr="005054B6">
        <w:rPr>
          <w:bCs/>
          <w:lang w:val="en-US"/>
        </w:rPr>
        <w:t xml:space="preserve"> </w:t>
      </w:r>
      <w:r w:rsidRPr="007857C5">
        <w:rPr>
          <w:bCs/>
          <w:lang w:val="en-US"/>
        </w:rPr>
        <w:t>the</w:t>
      </w:r>
      <w:r w:rsidRPr="005054B6">
        <w:rPr>
          <w:bCs/>
          <w:lang w:val="en-US"/>
        </w:rPr>
        <w:t xml:space="preserve"> </w:t>
      </w:r>
      <w:r w:rsidRPr="007857C5">
        <w:rPr>
          <w:bCs/>
          <w:lang w:val="en-US"/>
        </w:rPr>
        <w:t>Baikal</w:t>
      </w:r>
      <w:r w:rsidRPr="005054B6">
        <w:rPr>
          <w:bCs/>
          <w:lang w:val="en-US"/>
        </w:rPr>
        <w:t xml:space="preserve"> </w:t>
      </w:r>
      <w:r w:rsidRPr="007857C5">
        <w:rPr>
          <w:bCs/>
          <w:lang w:val="en-US"/>
        </w:rPr>
        <w:t>Rift</w:t>
      </w:r>
      <w:r w:rsidRPr="005054B6">
        <w:rPr>
          <w:bCs/>
          <w:lang w:val="en-US"/>
        </w:rPr>
        <w:t xml:space="preserve"> </w:t>
      </w:r>
      <w:r w:rsidRPr="007857C5">
        <w:rPr>
          <w:bCs/>
          <w:lang w:val="en-US"/>
        </w:rPr>
        <w:t>Zone</w:t>
      </w:r>
      <w:r w:rsidRPr="005054B6">
        <w:rPr>
          <w:bCs/>
          <w:lang w:val="en-US"/>
        </w:rPr>
        <w:t xml:space="preserve"> // </w:t>
      </w:r>
      <w:r w:rsidRPr="007857C5">
        <w:rPr>
          <w:bCs/>
          <w:lang w:val="en-US"/>
        </w:rPr>
        <w:t>Tectonophysics</w:t>
      </w:r>
      <w:r w:rsidRPr="005054B6">
        <w:rPr>
          <w:bCs/>
          <w:lang w:val="en-US"/>
        </w:rPr>
        <w:t xml:space="preserve">. </w:t>
      </w:r>
      <w:r>
        <w:rPr>
          <w:bCs/>
        </w:rPr>
        <w:t xml:space="preserve">‒ </w:t>
      </w:r>
      <w:r w:rsidRPr="00906EA3">
        <w:rPr>
          <w:bCs/>
        </w:rPr>
        <w:t xml:space="preserve">1978. </w:t>
      </w:r>
      <w:r>
        <w:rPr>
          <w:bCs/>
        </w:rPr>
        <w:t xml:space="preserve">‒ </w:t>
      </w:r>
      <w:r>
        <w:rPr>
          <w:bCs/>
          <w:lang w:val="en-US"/>
        </w:rPr>
        <w:t>V</w:t>
      </w:r>
      <w:r w:rsidRPr="00906EA3">
        <w:rPr>
          <w:bCs/>
        </w:rPr>
        <w:t xml:space="preserve">. 45, </w:t>
      </w:r>
      <w:r>
        <w:rPr>
          <w:bCs/>
        </w:rPr>
        <w:t xml:space="preserve">№ </w:t>
      </w:r>
      <w:r w:rsidRPr="00906EA3">
        <w:rPr>
          <w:bCs/>
        </w:rPr>
        <w:t xml:space="preserve">1. </w:t>
      </w:r>
      <w:r>
        <w:rPr>
          <w:bCs/>
        </w:rPr>
        <w:t xml:space="preserve">‒ </w:t>
      </w:r>
      <w:r w:rsidRPr="007857C5">
        <w:rPr>
          <w:bCs/>
        </w:rPr>
        <w:t>Р</w:t>
      </w:r>
      <w:r w:rsidRPr="00906EA3">
        <w:rPr>
          <w:bCs/>
        </w:rPr>
        <w:t>. 31-39</w:t>
      </w: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[8] Шерман С.И., Лунина О.В. Напряженное состояние литосферы Азии // Геодинамическая эволюция литосферы Центрально-Азиатского подвижного пояса.</w:t>
      </w:r>
      <w:r w:rsidRPr="00906EA3">
        <w:rPr>
          <w:bCs/>
        </w:rPr>
        <w:t xml:space="preserve"> </w:t>
      </w:r>
      <w:r>
        <w:rPr>
          <w:bCs/>
        </w:rPr>
        <w:t>‒ Иркутск:</w:t>
      </w:r>
      <w:r w:rsidRPr="007857C5">
        <w:rPr>
          <w:bCs/>
        </w:rPr>
        <w:t xml:space="preserve"> Институт земной коры, 2003. </w:t>
      </w:r>
      <w:r>
        <w:rPr>
          <w:bCs/>
        </w:rPr>
        <w:t xml:space="preserve">‒ </w:t>
      </w:r>
      <w:r w:rsidRPr="007857C5">
        <w:rPr>
          <w:bCs/>
        </w:rPr>
        <w:t>С. 271-275.</w:t>
      </w:r>
    </w:p>
    <w:p w:rsidR="005054B6" w:rsidRPr="007857C5" w:rsidRDefault="005054B6" w:rsidP="005054B6">
      <w:pPr>
        <w:ind w:firstLine="709"/>
        <w:jc w:val="both"/>
        <w:rPr>
          <w:bCs/>
        </w:rPr>
      </w:pPr>
      <w:r w:rsidRPr="007857C5">
        <w:rPr>
          <w:bCs/>
        </w:rPr>
        <w:t>[9] Леви К.Г., Мирошниченко А.И., Ружич В.В., Саньков В.А., Алакшин А.М., Кириллов П.Г., Колман С., Лухнев А.В. Современное разломообразование и сейсмичность в Байкальском рифте // Физическая мезомеханика</w:t>
      </w:r>
      <w:r>
        <w:rPr>
          <w:bCs/>
        </w:rPr>
        <w:t>.</w:t>
      </w:r>
      <w:r w:rsidRPr="007857C5">
        <w:rPr>
          <w:bCs/>
        </w:rPr>
        <w:t xml:space="preserve"> </w:t>
      </w:r>
      <w:r>
        <w:rPr>
          <w:bCs/>
        </w:rPr>
        <w:t>‒ 2000.</w:t>
      </w:r>
      <w:r w:rsidRPr="007857C5">
        <w:rPr>
          <w:bCs/>
        </w:rPr>
        <w:t xml:space="preserve"> </w:t>
      </w:r>
      <w:r>
        <w:rPr>
          <w:bCs/>
        </w:rPr>
        <w:t>‒ Т</w:t>
      </w:r>
      <w:r w:rsidRPr="007857C5">
        <w:rPr>
          <w:bCs/>
        </w:rPr>
        <w:t>.</w:t>
      </w:r>
      <w:r>
        <w:rPr>
          <w:bCs/>
        </w:rPr>
        <w:t xml:space="preserve"> </w:t>
      </w:r>
      <w:r w:rsidRPr="007857C5">
        <w:rPr>
          <w:bCs/>
        </w:rPr>
        <w:t xml:space="preserve">2, № 1-2. </w:t>
      </w:r>
      <w:r>
        <w:rPr>
          <w:bCs/>
        </w:rPr>
        <w:t>‒ С</w:t>
      </w:r>
      <w:r w:rsidRPr="007857C5">
        <w:rPr>
          <w:bCs/>
        </w:rPr>
        <w:t>.171-180.</w:t>
      </w:r>
    </w:p>
    <w:p w:rsidR="003C6882" w:rsidRPr="005054B6" w:rsidRDefault="003C6882" w:rsidP="005054B6">
      <w:bookmarkStart w:id="0" w:name="_GoBack"/>
      <w:bookmarkEnd w:id="0"/>
    </w:p>
    <w:sectPr w:rsidR="003C6882" w:rsidRPr="00505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5C3" w:rsidRDefault="00EF05C3" w:rsidP="0068485B">
      <w:r>
        <w:separator/>
      </w:r>
    </w:p>
  </w:endnote>
  <w:endnote w:type="continuationSeparator" w:id="0">
    <w:p w:rsidR="00EF05C3" w:rsidRDefault="00EF05C3" w:rsidP="0068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5C3" w:rsidRDefault="00EF05C3" w:rsidP="0068485B">
      <w:r>
        <w:separator/>
      </w:r>
    </w:p>
  </w:footnote>
  <w:footnote w:type="continuationSeparator" w:id="0">
    <w:p w:rsidR="00EF05C3" w:rsidRDefault="00EF05C3" w:rsidP="0068485B">
      <w:r>
        <w:continuationSeparator/>
      </w:r>
    </w:p>
  </w:footnote>
  <w:footnote w:id="1">
    <w:p w:rsidR="005054B6" w:rsidRDefault="005054B6" w:rsidP="005054B6">
      <w:pPr>
        <w:pStyle w:val="a3"/>
        <w:jc w:val="both"/>
      </w:pPr>
      <w:r>
        <w:rPr>
          <w:rStyle w:val="a5"/>
        </w:rPr>
        <w:t>*</w:t>
      </w:r>
      <w:r>
        <w:t xml:space="preserve"> Соавторы</w:t>
      </w:r>
      <w:r w:rsidRPr="007857C5">
        <w:t xml:space="preserve"> В.А. Савитский, Е.А. Цуркан // Геодинамическая эволюция литосферы Центрально-Азиатского подвижного пояса (от океана к континенту): Материалы  научного совещания  по программе фундаментальных исследований. – Иркутск: ИЗК СО РАН, 2005. Вып. 3. Т. 2. – С. 139–142.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2C0"/>
    <w:rsid w:val="003C6882"/>
    <w:rsid w:val="005054B6"/>
    <w:rsid w:val="005636CC"/>
    <w:rsid w:val="0068485B"/>
    <w:rsid w:val="00BC12C0"/>
    <w:rsid w:val="00EF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2FFC27D-178A-4062-A8BC-298B765E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68485B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68485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6848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1507</Words>
  <Characters>8595</Characters>
  <Application>Microsoft Office Word</Application>
  <DocSecurity>0</DocSecurity>
  <Lines>71</Lines>
  <Paragraphs>20</Paragraphs>
  <ScaleCrop>false</ScaleCrop>
  <Company/>
  <LinksUpToDate>false</LinksUpToDate>
  <CharactersWithSpaces>10082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3</cp:revision>
  <dcterms:created xsi:type="dcterms:W3CDTF">2017-02-06T07:23:00Z</dcterms:created>
  <dcterms:modified xsi:type="dcterms:W3CDTF">2017-03-15T03:05:00Z</dcterms:modified>
</cp:coreProperties>
</file>