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FD" w:rsidRDefault="00FB27FD" w:rsidP="00FB27FD">
      <w:pPr>
        <w:ind w:firstLine="709"/>
        <w:jc w:val="center"/>
        <w:rPr>
          <w:b/>
          <w:bCs/>
        </w:rPr>
      </w:pPr>
      <w:r w:rsidRPr="00DF588A">
        <w:rPr>
          <w:b/>
          <w:bCs/>
        </w:rPr>
        <w:t xml:space="preserve">СТАТИСТИЧЕСКИЙ АНАЛИЗ </w:t>
      </w:r>
    </w:p>
    <w:p w:rsidR="00FB27FD" w:rsidRDefault="00FB27FD" w:rsidP="00FB27FD">
      <w:pPr>
        <w:ind w:firstLine="709"/>
        <w:jc w:val="center"/>
        <w:rPr>
          <w:b/>
          <w:bCs/>
        </w:rPr>
      </w:pPr>
      <w:r w:rsidRPr="00DF588A">
        <w:rPr>
          <w:b/>
          <w:bCs/>
        </w:rPr>
        <w:t xml:space="preserve">ПРОСТРАНСТВЕННО-ВРЕМЕННОЙ МИГРАЦИИ </w:t>
      </w:r>
    </w:p>
    <w:p w:rsidR="00FB27FD" w:rsidRPr="00DF588A" w:rsidRDefault="00FB27FD" w:rsidP="00FB27FD">
      <w:pPr>
        <w:ind w:firstLine="709"/>
        <w:jc w:val="center"/>
        <w:rPr>
          <w:b/>
          <w:bCs/>
        </w:rPr>
      </w:pPr>
      <w:r w:rsidRPr="00DF588A">
        <w:rPr>
          <w:b/>
          <w:bCs/>
        </w:rPr>
        <w:t>СЕЙСМИЧНОСТИ В ЗОНЕ СОВРЕМЕННОЙ ДЕСТРУКЦИИ ЛИТОСФЕРЫ БАЙКАЛЬСКОЙ РИФТОВОЙ СИСТЕМЫ</w:t>
      </w:r>
      <w:r>
        <w:rPr>
          <w:rStyle w:val="a5"/>
          <w:b/>
          <w:bCs/>
        </w:rPr>
        <w:footnoteReference w:customMarkFollows="1" w:id="1"/>
        <w:t>*</w:t>
      </w:r>
    </w:p>
    <w:p w:rsidR="00FB27FD" w:rsidRPr="00DF588A" w:rsidRDefault="00FB27FD" w:rsidP="00FB27FD">
      <w:pPr>
        <w:ind w:firstLine="709"/>
        <w:jc w:val="both"/>
        <w:rPr>
          <w:bCs/>
        </w:rPr>
      </w:pP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 xml:space="preserve">Для статистического анализа пространственно-временной миграции сейсмических событий в области современной деструкции литосферы в пределах Байкальской рифтовой системы (БРС) были использованы возможности программного комплекса </w:t>
      </w:r>
      <w:r w:rsidRPr="00DF588A">
        <w:rPr>
          <w:bCs/>
          <w:lang w:val="en-US"/>
        </w:rPr>
        <w:t>GIA</w:t>
      </w:r>
      <w:r w:rsidRPr="00DF588A">
        <w:rPr>
          <w:bCs/>
        </w:rPr>
        <w:t>.</w:t>
      </w: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 xml:space="preserve">Программный комплекс </w:t>
      </w:r>
      <w:r w:rsidRPr="00DF588A">
        <w:rPr>
          <w:bCs/>
          <w:lang w:val="en-US"/>
        </w:rPr>
        <w:t>GIA</w:t>
      </w:r>
      <w:r w:rsidRPr="00DF588A">
        <w:rPr>
          <w:bCs/>
        </w:rPr>
        <w:t xml:space="preserve"> (Геоинформационный анализ) предназначается для решения широкого круга задач обработки и анализа геолого-геофизической информации. Он включает в себя «оболочку» и динамически вызываемые оболочкой функциональные программные модули для обработки </w:t>
      </w:r>
      <w:proofErr w:type="spellStart"/>
      <w:r w:rsidRPr="00DF588A">
        <w:rPr>
          <w:bCs/>
        </w:rPr>
        <w:t>геоданных</w:t>
      </w:r>
      <w:proofErr w:type="spellEnd"/>
      <w:r w:rsidRPr="00DF588A">
        <w:rPr>
          <w:bCs/>
        </w:rPr>
        <w:t xml:space="preserve"> и гибкого построения графов обработки информации. Оболочка построена в соответствии с требованиями к современному программному обеспечению. К числу таких требований относятся событийная и объектная ориентированность, а также унифицированный графический интерфейс. Набор функциональных модулей может постоянно расширяться с одновременным включением в оболочку новых пунктов меню. Такая структура программного комплекса, а также ориентация на хранение исходных параметров в реляционной базе данных, позволяют оперативно конфигурировать </w:t>
      </w:r>
      <w:r w:rsidRPr="00DF588A">
        <w:rPr>
          <w:bCs/>
          <w:lang w:val="en-US"/>
        </w:rPr>
        <w:t>GIA</w:t>
      </w:r>
      <w:r w:rsidRPr="00DF588A">
        <w:rPr>
          <w:bCs/>
        </w:rPr>
        <w:t xml:space="preserve"> для решения конкретного круга задач. В число задач, решаемых с помощью </w:t>
      </w:r>
      <w:r w:rsidRPr="00DF588A">
        <w:rPr>
          <w:bCs/>
          <w:lang w:val="en-US"/>
        </w:rPr>
        <w:t>GIA</w:t>
      </w:r>
      <w:r w:rsidRPr="00DF588A">
        <w:rPr>
          <w:bCs/>
        </w:rPr>
        <w:t xml:space="preserve">, входит определение статистических характеристик различных геолого-геофизических параметров и выделение на их основе наиболее стабильных и значимых, а также установление тесноты связей и причинно-следственных отношений между рассматриваемыми признаками объектов. </w:t>
      </w: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>Зона современной деструкции литосферы в БРС была выделена С.И.</w:t>
      </w:r>
      <w:r>
        <w:rPr>
          <w:bCs/>
        </w:rPr>
        <w:t xml:space="preserve"> </w:t>
      </w:r>
      <w:proofErr w:type="spellStart"/>
      <w:r w:rsidRPr="00DF588A">
        <w:rPr>
          <w:bCs/>
        </w:rPr>
        <w:t>Шерманом</w:t>
      </w:r>
      <w:proofErr w:type="spellEnd"/>
      <w:r w:rsidRPr="00DF588A">
        <w:rPr>
          <w:bCs/>
        </w:rPr>
        <w:t xml:space="preserve"> и др. [</w:t>
      </w:r>
      <w:r>
        <w:rPr>
          <w:bCs/>
        </w:rPr>
        <w:t>1</w:t>
      </w:r>
      <w:r w:rsidRPr="00DF588A">
        <w:rPr>
          <w:bCs/>
        </w:rPr>
        <w:t xml:space="preserve">] (рис.1) на базе комплексного анализа сейсмичности и разломной тектоники. Зона современной деструкции литосферы позволила наметить пространственно-временные закономерности сейсмичности на разных иерархических уровнях и отдельных прямолинейных сегментах этой протяженной современной деструктивной структуры. Продольно-поперечная осцилляция сейсмических событий в области динамического влияния зоны современной деструкции литосферы в БРС дала основание для продолжения исследований и поисков закономерностей последовательности возникновения землетрясений различных энергетических классов в пределах ее отдельных сегментов. Для использования программного комплекса </w:t>
      </w:r>
      <w:r w:rsidRPr="00DF588A">
        <w:rPr>
          <w:bCs/>
          <w:lang w:val="en-US"/>
        </w:rPr>
        <w:t>GIA</w:t>
      </w:r>
      <w:r w:rsidRPr="00DF588A">
        <w:rPr>
          <w:bCs/>
        </w:rPr>
        <w:t xml:space="preserve"> территория вдоль области динамического влияния зоны современной деструкции литосферы была разбита на 6 площадок (см. рис.1). Последовательность расположения площадок с юго-запада на северо-восток определялась наиболее значимыми прямолинейными сегментами, определяющими осевую линию зоны современной деструкции литосферы.</w:t>
      </w: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 xml:space="preserve">Фиксация сейсмического события в той или иной площадке – не случайное явление. Ему предшествовали и </w:t>
      </w:r>
      <w:proofErr w:type="spellStart"/>
      <w:r w:rsidRPr="00DF588A">
        <w:rPr>
          <w:bCs/>
        </w:rPr>
        <w:t>предпредшествовали</w:t>
      </w:r>
      <w:proofErr w:type="spellEnd"/>
      <w:r w:rsidRPr="00DF588A">
        <w:rPr>
          <w:bCs/>
        </w:rPr>
        <w:t xml:space="preserve"> другие события. Для анализа распределения в пространстве сейсмических событий-предшественников и </w:t>
      </w:r>
      <w:proofErr w:type="spellStart"/>
      <w:r w:rsidRPr="00DF588A">
        <w:rPr>
          <w:bCs/>
        </w:rPr>
        <w:t>предпредшественников</w:t>
      </w:r>
      <w:proofErr w:type="spellEnd"/>
      <w:r w:rsidRPr="00DF588A">
        <w:rPr>
          <w:bCs/>
        </w:rPr>
        <w:t xml:space="preserve"> была дополнительно создана специальная программа в электронной таблице EXCEL. Исследовалась последовательность возникновения событий, начиная с девятого и выше энергетических классов, в зависимости от двух последовательно предшествовавших событий. При этом между ними должен был быть пространственный интервал в 0.2º и временной не менее двух суток. Результаты проведенной работы показаны в таблицах 1 и 2. </w:t>
      </w:r>
    </w:p>
    <w:p w:rsidR="00FB27FD" w:rsidRDefault="00FB27FD" w:rsidP="00FB27FD">
      <w:pPr>
        <w:ind w:firstLine="709"/>
        <w:jc w:val="right"/>
        <w:rPr>
          <w:bCs/>
        </w:rPr>
      </w:pPr>
    </w:p>
    <w:p w:rsidR="00FB27FD" w:rsidRDefault="00FB27FD" w:rsidP="00FB27FD">
      <w:pPr>
        <w:ind w:firstLine="709"/>
        <w:jc w:val="right"/>
        <w:rPr>
          <w:bCs/>
        </w:rPr>
      </w:pPr>
    </w:p>
    <w:p w:rsidR="00FB27FD" w:rsidRDefault="00FB27FD" w:rsidP="00FB27FD">
      <w:pPr>
        <w:ind w:firstLine="709"/>
        <w:jc w:val="right"/>
        <w:rPr>
          <w:bCs/>
        </w:rPr>
      </w:pPr>
    </w:p>
    <w:p w:rsidR="00FB27FD" w:rsidRDefault="00FB27FD" w:rsidP="00FB27FD">
      <w:pPr>
        <w:ind w:firstLine="709"/>
        <w:jc w:val="right"/>
        <w:rPr>
          <w:bCs/>
        </w:rPr>
      </w:pPr>
    </w:p>
    <w:p w:rsidR="00FB27FD" w:rsidRDefault="00FB27FD" w:rsidP="00FB27FD">
      <w:pPr>
        <w:jc w:val="right"/>
        <w:rPr>
          <w:bCs/>
        </w:rPr>
      </w:pPr>
      <w:r w:rsidRPr="00B40956">
        <w:rPr>
          <w:bCs/>
          <w:noProof/>
        </w:rPr>
        <w:lastRenderedPageBreak/>
        <w:drawing>
          <wp:inline distT="0" distB="0" distL="0" distR="0" wp14:anchorId="74095514" wp14:editId="2511D049">
            <wp:extent cx="5574030" cy="3730625"/>
            <wp:effectExtent l="0" t="0" r="7620" b="3175"/>
            <wp:docPr id="90" name="Рисунок 90" descr="D:\18НАУЧНАЯ РАБОТА\01СТАТЬИ\2017\ТРУДЫ\Шерман Рукописи по темам\ТЕМА 3\[310] Проблемы сейсмологии III тысячелетия, 2003\рис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D:\18НАУЧНАЯ РАБОТА\01СТАТЬИ\2017\ТРУДЫ\Шерман Рукописи по темам\ТЕМА 3\[310] Проблемы сейсмологии III тысячелетия, 2003\рис.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FD" w:rsidRDefault="00FB27FD" w:rsidP="00FB27FD">
      <w:pPr>
        <w:ind w:firstLine="709"/>
        <w:jc w:val="both"/>
        <w:rPr>
          <w:bCs/>
        </w:rPr>
      </w:pPr>
      <w:r w:rsidRPr="00B40956">
        <w:rPr>
          <w:bCs/>
        </w:rPr>
        <w:t>Рис.1. Плотность эпицентров землетрясений в Байкальской рифтовой системе и расположение оси зоны современной деструкции литосферы [</w:t>
      </w:r>
      <w:proofErr w:type="spellStart"/>
      <w:r w:rsidRPr="00B40956">
        <w:rPr>
          <w:bCs/>
        </w:rPr>
        <w:t>Шерман</w:t>
      </w:r>
      <w:proofErr w:type="spellEnd"/>
      <w:r w:rsidRPr="00B40956">
        <w:rPr>
          <w:bCs/>
        </w:rPr>
        <w:t xml:space="preserve">, </w:t>
      </w:r>
      <w:proofErr w:type="spellStart"/>
      <w:r w:rsidRPr="00B40956">
        <w:rPr>
          <w:bCs/>
        </w:rPr>
        <w:t>Демьянович</w:t>
      </w:r>
      <w:proofErr w:type="spellEnd"/>
      <w:r w:rsidRPr="00B40956">
        <w:rPr>
          <w:bCs/>
        </w:rPr>
        <w:t>, Лысак, 2002] с дополнениями.</w:t>
      </w:r>
      <w:r>
        <w:rPr>
          <w:bCs/>
        </w:rPr>
        <w:t xml:space="preserve"> </w:t>
      </w:r>
      <w:r w:rsidRPr="00B40956">
        <w:rPr>
          <w:bCs/>
        </w:rPr>
        <w:t>1 – изолинии плотности эпицентров; 2 – ось зоны современной деструкции литосферы; 3 – границы площадок и их номера</w:t>
      </w:r>
    </w:p>
    <w:p w:rsidR="00FB27FD" w:rsidRDefault="00FB27FD" w:rsidP="00FB27FD">
      <w:pPr>
        <w:ind w:firstLine="709"/>
        <w:jc w:val="right"/>
        <w:rPr>
          <w:bCs/>
        </w:rPr>
      </w:pPr>
    </w:p>
    <w:p w:rsidR="00FB27FD" w:rsidRPr="00DF588A" w:rsidRDefault="00FB27FD" w:rsidP="00FB27FD">
      <w:pPr>
        <w:ind w:firstLine="709"/>
        <w:jc w:val="right"/>
        <w:rPr>
          <w:bCs/>
        </w:rPr>
      </w:pPr>
      <w:r w:rsidRPr="00DF588A">
        <w:rPr>
          <w:bCs/>
        </w:rPr>
        <w:t>Таблица 1</w:t>
      </w:r>
    </w:p>
    <w:p w:rsidR="00FB27FD" w:rsidRPr="00DF588A" w:rsidRDefault="00FB27FD" w:rsidP="00FB27FD">
      <w:pPr>
        <w:ind w:firstLine="709"/>
        <w:jc w:val="center"/>
        <w:rPr>
          <w:bCs/>
        </w:rPr>
      </w:pPr>
      <w:r w:rsidRPr="00DF588A">
        <w:rPr>
          <w:bCs/>
        </w:rPr>
        <w:t>Количественное соотношение сейсмических событий на разных участках Байкальской рифтовой системы по отношению к свершившемуся событию на фиксируемой площадке 1</w:t>
      </w: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  <w:noProof/>
        </w:rPr>
        <w:drawing>
          <wp:inline distT="0" distB="0" distL="0" distR="0" wp14:anchorId="37704947" wp14:editId="69B7EA94">
            <wp:extent cx="5384165" cy="2186940"/>
            <wp:effectExtent l="0" t="0" r="6985" b="3810"/>
            <wp:docPr id="87" name="Рисунок 87" descr="␏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␏þ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FD" w:rsidRDefault="00FB27FD" w:rsidP="00FB27FD">
      <w:pPr>
        <w:ind w:firstLine="709"/>
        <w:jc w:val="both"/>
        <w:rPr>
          <w:bCs/>
        </w:rPr>
      </w:pP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 xml:space="preserve">Максимальное число </w:t>
      </w:r>
      <w:r w:rsidRPr="00DF588A">
        <w:rPr>
          <w:b/>
          <w:bCs/>
          <w:i/>
        </w:rPr>
        <w:t>77</w:t>
      </w:r>
      <w:r w:rsidRPr="00DF588A">
        <w:rPr>
          <w:bCs/>
        </w:rPr>
        <w:t xml:space="preserve"> в таблице 1 для площадки 1 говорит о том, что события-предшественники и </w:t>
      </w:r>
      <w:proofErr w:type="spellStart"/>
      <w:r w:rsidRPr="00DF588A">
        <w:rPr>
          <w:bCs/>
        </w:rPr>
        <w:t>предпредшественники</w:t>
      </w:r>
      <w:proofErr w:type="spellEnd"/>
      <w:r w:rsidRPr="00DF588A">
        <w:rPr>
          <w:bCs/>
        </w:rPr>
        <w:t xml:space="preserve"> в большинстве случаев происходили </w:t>
      </w:r>
      <w:proofErr w:type="gramStart"/>
      <w:r w:rsidRPr="00DF588A">
        <w:rPr>
          <w:bCs/>
        </w:rPr>
        <w:t>в  1</w:t>
      </w:r>
      <w:proofErr w:type="gramEnd"/>
      <w:r w:rsidRPr="00DF588A">
        <w:rPr>
          <w:bCs/>
        </w:rPr>
        <w:t xml:space="preserve"> площадке.  В таблице 2, составленной для площадки 2, максимальное число </w:t>
      </w:r>
      <w:r w:rsidRPr="00DF588A">
        <w:rPr>
          <w:b/>
          <w:bCs/>
          <w:i/>
        </w:rPr>
        <w:t>44</w:t>
      </w:r>
      <w:r w:rsidRPr="00DF588A">
        <w:rPr>
          <w:bCs/>
        </w:rPr>
        <w:t xml:space="preserve"> показывает, что событие-</w:t>
      </w:r>
      <w:proofErr w:type="spellStart"/>
      <w:r w:rsidRPr="00DF588A">
        <w:rPr>
          <w:bCs/>
        </w:rPr>
        <w:t>предпредшественник</w:t>
      </w:r>
      <w:proofErr w:type="spellEnd"/>
      <w:r w:rsidRPr="00DF588A">
        <w:rPr>
          <w:bCs/>
        </w:rPr>
        <w:t xml:space="preserve"> более часто происходило в 3 площадке, событие-предшественник – в 6 площадке, т.е. здесь типична последовательность 3-6-2.</w:t>
      </w:r>
    </w:p>
    <w:p w:rsidR="00FB27FD" w:rsidRDefault="00FB27FD" w:rsidP="00FB27FD">
      <w:pPr>
        <w:ind w:firstLine="709"/>
        <w:jc w:val="both"/>
        <w:rPr>
          <w:bCs/>
        </w:rPr>
      </w:pPr>
    </w:p>
    <w:p w:rsidR="00FB27FD" w:rsidRDefault="00FB27FD" w:rsidP="00FB27FD">
      <w:pPr>
        <w:ind w:firstLine="709"/>
        <w:jc w:val="both"/>
        <w:rPr>
          <w:bCs/>
        </w:rPr>
      </w:pPr>
    </w:p>
    <w:p w:rsidR="00FB27FD" w:rsidRDefault="00FB27FD" w:rsidP="00FB27FD">
      <w:pPr>
        <w:ind w:firstLine="709"/>
        <w:jc w:val="both"/>
        <w:rPr>
          <w:bCs/>
        </w:rPr>
      </w:pPr>
    </w:p>
    <w:p w:rsidR="00FB27FD" w:rsidRPr="00DF588A" w:rsidRDefault="00FB27FD" w:rsidP="00FB27FD">
      <w:pPr>
        <w:ind w:firstLine="709"/>
        <w:jc w:val="right"/>
        <w:rPr>
          <w:bCs/>
        </w:rPr>
      </w:pPr>
      <w:r w:rsidRPr="00DF588A">
        <w:rPr>
          <w:bCs/>
        </w:rPr>
        <w:lastRenderedPageBreak/>
        <w:t>Таблица 2</w:t>
      </w:r>
    </w:p>
    <w:p w:rsidR="00FB27FD" w:rsidRPr="00DF588A" w:rsidRDefault="00FB27FD" w:rsidP="00FB27FD">
      <w:pPr>
        <w:ind w:firstLine="709"/>
        <w:jc w:val="center"/>
        <w:rPr>
          <w:bCs/>
        </w:rPr>
      </w:pPr>
      <w:r w:rsidRPr="00DF588A">
        <w:rPr>
          <w:bCs/>
        </w:rPr>
        <w:t>Количественное соотношение сейсмических событий на разных участках Байкальской рифтовой системы по отношению к свершившемуся событию на фиксируемой площадке 2</w:t>
      </w: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  <w:noProof/>
        </w:rPr>
        <w:drawing>
          <wp:inline distT="0" distB="0" distL="0" distR="0" wp14:anchorId="4FAF1C09" wp14:editId="0BD3712B">
            <wp:extent cx="5252085" cy="2172335"/>
            <wp:effectExtent l="0" t="0" r="5715" b="0"/>
            <wp:docPr id="82" name="Рисунок 82" descr="㜷ž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㜷ž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FD" w:rsidRDefault="00FB27FD" w:rsidP="00FB27FD">
      <w:pPr>
        <w:ind w:firstLine="709"/>
        <w:jc w:val="both"/>
        <w:rPr>
          <w:bCs/>
        </w:rPr>
      </w:pP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>По результатам проведенного таким образом анализа событий с разными временными интервалами в области динамического влияния зоны современной деструкции литосферы наметилась тенденция концентрации предшествующих событий в площадках 3 и 1. Более конкретная пространственная детализация и, естественно, прогноз последующих событий может быть осуществлен путем уменьшения размеров площадок. Правда, такая процедура усложняется резким уменьшением количества исходных данных и соответственно уменьшением достоверности результатов. Тем не менее, проведенным анализом подтверждена миграция сейсмической активности с юго-запада на северо-восток и обратно с различным периодом вдоль зоны современной деструкции литосферы.</w:t>
      </w:r>
    </w:p>
    <w:p w:rsidR="00FB27FD" w:rsidRPr="00DF588A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 xml:space="preserve">Для последующего анализа была изменена программа и изучена пространственно-временная миграция максимального количества событий по площадкам в течение каждого месяца (рис. 2). За период наблюдения с января 1960 г. по сентябрь 1999 г. для площадки 1 характерна высокая интенсивность сейсмических событий. Аналогичные выводы получаются для всей юго-западной и центральной частей БРС. Это говорит о том, что энергетические источники и конкретные «спусковые механизмы» современной сейсмичности надо искать в пределах центрального и южного сегментов БРС. Безусловно, в число этих механизмов необходимо включить специфику </w:t>
      </w:r>
      <w:proofErr w:type="spellStart"/>
      <w:r w:rsidRPr="00DF588A">
        <w:rPr>
          <w:bCs/>
        </w:rPr>
        <w:t>разломно</w:t>
      </w:r>
      <w:proofErr w:type="spellEnd"/>
      <w:r w:rsidRPr="00DF588A">
        <w:rPr>
          <w:bCs/>
        </w:rPr>
        <w:t xml:space="preserve">-блоковой структуры региона и данные о современных движениях земной коры и </w:t>
      </w:r>
      <w:proofErr w:type="spellStart"/>
      <w:r w:rsidRPr="00DF588A">
        <w:rPr>
          <w:bCs/>
        </w:rPr>
        <w:t>межблоковых</w:t>
      </w:r>
      <w:proofErr w:type="spellEnd"/>
      <w:r w:rsidRPr="00DF588A">
        <w:rPr>
          <w:bCs/>
        </w:rPr>
        <w:t xml:space="preserve"> подвижках. Введение в программу дополнительных геолого-геофизических данных, отражающих структуру субстрата и его относительную тектоническую подвижность, существенно уточнят картину пространственно-временного прогноза сейсмической активности в БРС. </w:t>
      </w:r>
    </w:p>
    <w:p w:rsidR="00FB27FD" w:rsidRDefault="00FB27FD" w:rsidP="00FB27FD">
      <w:pPr>
        <w:ind w:firstLine="709"/>
        <w:jc w:val="both"/>
        <w:rPr>
          <w:bCs/>
        </w:rPr>
      </w:pPr>
      <w:r w:rsidRPr="00DF588A">
        <w:rPr>
          <w:bCs/>
        </w:rPr>
        <w:t>Исследования поддержаны Программой 13 Президиума РАН (проект12); РФФИ (гранты 01-05-64485, 01-05-97226); Интеграционным проектом СО РАН № 101-2003; грантом Минобразования Е02-8-45.</w:t>
      </w:r>
    </w:p>
    <w:p w:rsidR="00FB27FD" w:rsidRPr="00DF588A" w:rsidRDefault="00FB27FD" w:rsidP="00FB27FD">
      <w:pPr>
        <w:ind w:firstLine="709"/>
        <w:jc w:val="both"/>
        <w:rPr>
          <w:bCs/>
        </w:rPr>
      </w:pPr>
    </w:p>
    <w:p w:rsidR="00FB27FD" w:rsidRDefault="00FB27FD" w:rsidP="00FB27FD">
      <w:pPr>
        <w:ind w:firstLine="709"/>
        <w:jc w:val="center"/>
        <w:rPr>
          <w:bCs/>
        </w:rPr>
      </w:pPr>
      <w:r w:rsidRPr="00B40956">
        <w:rPr>
          <w:b/>
          <w:bCs/>
        </w:rPr>
        <w:t>ЛИТЕРАТУРА</w:t>
      </w:r>
    </w:p>
    <w:p w:rsidR="00FB27FD" w:rsidRPr="00B40956" w:rsidRDefault="00FB27FD" w:rsidP="00FB27FD">
      <w:pPr>
        <w:ind w:firstLine="708"/>
        <w:jc w:val="both"/>
        <w:rPr>
          <w:bCs/>
        </w:rPr>
      </w:pPr>
      <w:r w:rsidRPr="00B40956">
        <w:rPr>
          <w:bCs/>
        </w:rPr>
        <w:t>1.</w:t>
      </w:r>
      <w:r>
        <w:rPr>
          <w:bCs/>
        </w:rPr>
        <w:t xml:space="preserve"> </w:t>
      </w:r>
      <w:proofErr w:type="spellStart"/>
      <w:r w:rsidRPr="00B40956">
        <w:rPr>
          <w:bCs/>
        </w:rPr>
        <w:t>Шерман</w:t>
      </w:r>
      <w:proofErr w:type="spellEnd"/>
      <w:r w:rsidRPr="00B40956">
        <w:rPr>
          <w:bCs/>
        </w:rPr>
        <w:t xml:space="preserve"> С.И., </w:t>
      </w:r>
      <w:proofErr w:type="spellStart"/>
      <w:r w:rsidRPr="00B40956">
        <w:rPr>
          <w:bCs/>
        </w:rPr>
        <w:t>Демьянович</w:t>
      </w:r>
      <w:proofErr w:type="spellEnd"/>
      <w:r w:rsidRPr="00B40956">
        <w:rPr>
          <w:bCs/>
        </w:rPr>
        <w:t xml:space="preserve"> В.М., Лысак С.В. Новые данные о современной деструкции литосферы в Байкальской рифтовой зоне //Доклады Академии наук, 2002, том 387, № 4, с. 533-536.</w:t>
      </w:r>
    </w:p>
    <w:p w:rsidR="00FB27FD" w:rsidRDefault="00FB27FD" w:rsidP="00FB27FD">
      <w:pPr>
        <w:ind w:firstLine="709"/>
      </w:pPr>
    </w:p>
    <w:p w:rsidR="00FB27FD" w:rsidRDefault="00FB27FD" w:rsidP="00FB27FD">
      <w:pPr>
        <w:ind w:firstLine="709"/>
      </w:pPr>
    </w:p>
    <w:p w:rsidR="00FB27FD" w:rsidRDefault="00FB27FD" w:rsidP="00FB27FD">
      <w:pPr>
        <w:ind w:firstLine="709"/>
      </w:pPr>
    </w:p>
    <w:p w:rsidR="00FB27FD" w:rsidRDefault="00FB27FD" w:rsidP="00FB27FD">
      <w:pPr>
        <w:ind w:firstLine="709"/>
      </w:pPr>
    </w:p>
    <w:p w:rsidR="00FB27FD" w:rsidRDefault="00FB27FD" w:rsidP="00FB27FD">
      <w:pPr>
        <w:ind w:firstLine="709"/>
      </w:pPr>
    </w:p>
    <w:p w:rsidR="00FB27FD" w:rsidRDefault="00FB27FD" w:rsidP="00FB27FD">
      <w:pPr>
        <w:ind w:firstLine="709"/>
      </w:pPr>
    </w:p>
    <w:p w:rsidR="00FB27FD" w:rsidRDefault="00FB27FD" w:rsidP="007C5CE6">
      <w:pPr>
        <w:ind w:firstLine="709"/>
        <w:jc w:val="center"/>
      </w:pPr>
      <w:bookmarkStart w:id="0" w:name="_GoBack"/>
      <w:r w:rsidRPr="00B40956">
        <w:rPr>
          <w:noProof/>
        </w:rPr>
        <w:lastRenderedPageBreak/>
        <w:drawing>
          <wp:inline distT="0" distB="0" distL="0" distR="0" wp14:anchorId="49A947AD" wp14:editId="7E2F9581">
            <wp:extent cx="3145790" cy="6159500"/>
            <wp:effectExtent l="0" t="0" r="0" b="0"/>
            <wp:docPr id="94" name="Рисунок 94" descr="D:\18НАУЧНАЯ РАБОТА\01СТАТЬИ\2017\ТРУДЫ\Шерман Рукописи по темам\ТЕМА 3\[310] Проблемы сейсмологии III тысячелетия, 2003\рис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D:\18НАУЧНАЯ РАБОТА\01СТАТЬИ\2017\ТРУДЫ\Шерман Рукописи по темам\ТЕМА 3\[310] Проблемы сейсмологии III тысячелетия, 2003\рис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61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27FD" w:rsidRDefault="00FB27FD" w:rsidP="00FB27FD">
      <w:pPr>
        <w:ind w:firstLine="709"/>
        <w:rPr>
          <w:bCs/>
        </w:rPr>
      </w:pPr>
      <w:r>
        <w:t>Рис. 2. График миграции максимальной сейсмической активности 1997-1999 гг. по площадкам в БРС (см. рис. 1)</w:t>
      </w:r>
    </w:p>
    <w:p w:rsidR="005C7D46" w:rsidRDefault="005C7D46"/>
    <w:sectPr w:rsidR="005C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44" w:rsidRDefault="003D1E44" w:rsidP="00FB27FD">
      <w:r>
        <w:separator/>
      </w:r>
    </w:p>
  </w:endnote>
  <w:endnote w:type="continuationSeparator" w:id="0">
    <w:p w:rsidR="003D1E44" w:rsidRDefault="003D1E44" w:rsidP="00F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44" w:rsidRDefault="003D1E44" w:rsidP="00FB27FD">
      <w:r>
        <w:separator/>
      </w:r>
    </w:p>
  </w:footnote>
  <w:footnote w:type="continuationSeparator" w:id="0">
    <w:p w:rsidR="003D1E44" w:rsidRDefault="003D1E44" w:rsidP="00FB27FD">
      <w:r>
        <w:continuationSeparator/>
      </w:r>
    </w:p>
  </w:footnote>
  <w:footnote w:id="1">
    <w:p w:rsidR="00FB27FD" w:rsidRDefault="00FB27FD" w:rsidP="00FB27FD">
      <w:pPr>
        <w:pStyle w:val="a3"/>
      </w:pPr>
      <w:r>
        <w:rPr>
          <w:rStyle w:val="a5"/>
        </w:rPr>
        <w:t>*</w:t>
      </w:r>
      <w:r>
        <w:t xml:space="preserve"> Соавторы</w:t>
      </w:r>
      <w:r w:rsidRPr="00B40956">
        <w:t xml:space="preserve"> В.В. </w:t>
      </w:r>
      <w:proofErr w:type="spellStart"/>
      <w:r w:rsidRPr="00B40956">
        <w:t>Ломтадзе</w:t>
      </w:r>
      <w:proofErr w:type="spellEnd"/>
      <w:r w:rsidRPr="00B40956">
        <w:t xml:space="preserve">, О.В. </w:t>
      </w:r>
      <w:proofErr w:type="spellStart"/>
      <w:r w:rsidRPr="00B40956">
        <w:t>Дударева</w:t>
      </w:r>
      <w:proofErr w:type="spellEnd"/>
      <w:r>
        <w:t>.</w:t>
      </w:r>
      <w:r w:rsidRPr="00B40956">
        <w:t xml:space="preserve"> Проблемы сейсмологии III тысячелетия: Материалы </w:t>
      </w:r>
      <w:proofErr w:type="spellStart"/>
      <w:r w:rsidRPr="00B40956">
        <w:t>междунар</w:t>
      </w:r>
      <w:proofErr w:type="spellEnd"/>
      <w:r w:rsidRPr="00B40956">
        <w:t xml:space="preserve">. конференции. – Новосибирск: </w:t>
      </w:r>
      <w:proofErr w:type="spellStart"/>
      <w:r w:rsidRPr="00B40956">
        <w:t>ИГиГ</w:t>
      </w:r>
      <w:proofErr w:type="spellEnd"/>
      <w:r w:rsidRPr="00B40956">
        <w:t xml:space="preserve"> СО РАН, 2003. – С. 69–73.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17"/>
    <w:rsid w:val="003D1E44"/>
    <w:rsid w:val="005C7D46"/>
    <w:rsid w:val="007C5CE6"/>
    <w:rsid w:val="007D6597"/>
    <w:rsid w:val="008A3017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1270BC-0857-4E38-B53A-B32D141D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B27F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B2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B2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2017-02-03T09:28:00Z</dcterms:created>
  <dcterms:modified xsi:type="dcterms:W3CDTF">2017-03-27T01:21:00Z</dcterms:modified>
</cp:coreProperties>
</file>