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86" w:rsidRDefault="00225086" w:rsidP="002250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086">
        <w:rPr>
          <w:rFonts w:ascii="Times New Roman" w:hAnsi="Times New Roman" w:cs="Times New Roman"/>
          <w:b/>
          <w:sz w:val="24"/>
          <w:szCs w:val="24"/>
        </w:rPr>
        <w:t xml:space="preserve">ГЕОДИНАМИЧЕСКАЯ АКТИВНОСТЬ ЛИТОСФЕРЫ, </w:t>
      </w:r>
    </w:p>
    <w:p w:rsidR="00004C24" w:rsidRDefault="00225086" w:rsidP="002250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086">
        <w:rPr>
          <w:rFonts w:ascii="Times New Roman" w:hAnsi="Times New Roman" w:cs="Times New Roman"/>
          <w:b/>
          <w:sz w:val="24"/>
          <w:szCs w:val="24"/>
        </w:rPr>
        <w:t>ЕЕ ИНТЕГРАЛЬНАЯ ОЦЕНКА И СВЯЗЬ С СЕЙСМИЧНОСТЬЮ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0C2741" w:rsidRDefault="000C2741" w:rsidP="002250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E9A" w:rsidRPr="00D80E9A" w:rsidRDefault="00D80E9A" w:rsidP="00D8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E9A">
        <w:rPr>
          <w:rFonts w:ascii="Times New Roman" w:hAnsi="Times New Roman" w:cs="Times New Roman"/>
          <w:sz w:val="24"/>
          <w:szCs w:val="24"/>
        </w:rPr>
        <w:t>В настоящее время о геодинамической активности литосферы мы судим по большому количеству геолого-геофизических признаков. Они не всегда равнозначны, иногда не являются прямым следствием основных геодинамических процессов в литосфере и, чаще всего, не выражены в сравнимой системе измерений. Геологические признаки в большинстве своем оцениваются на качественном уровне, геофизические - количественно, но и между ними не всегда находится аналитическая форма связи.</w:t>
      </w:r>
    </w:p>
    <w:p w:rsidR="00D80E9A" w:rsidRPr="00D80E9A" w:rsidRDefault="00D80E9A" w:rsidP="00D8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E9A">
        <w:rPr>
          <w:rFonts w:ascii="Times New Roman" w:hAnsi="Times New Roman" w:cs="Times New Roman"/>
          <w:sz w:val="24"/>
          <w:szCs w:val="24"/>
        </w:rPr>
        <w:t>Вместе с тем, в современной тектонике отчетливо проявляется тенденция к совершенствованию методов исследований за счет введения количественной характеристики структур, нахождения между ниш статистических связей и описания процессов в аналитическом виде. Однако, число установленных коррелированных характеристик пока не велико и поэтому генерализация и необходимое в геотектонике картографическое обобщение информации вызывают трудности.</w:t>
      </w:r>
    </w:p>
    <w:p w:rsidR="00D80E9A" w:rsidRPr="00D80E9A" w:rsidRDefault="00D80E9A" w:rsidP="00D8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E9A">
        <w:rPr>
          <w:rFonts w:ascii="Times New Roman" w:hAnsi="Times New Roman" w:cs="Times New Roman"/>
          <w:sz w:val="24"/>
          <w:szCs w:val="24"/>
        </w:rPr>
        <w:t>Действительно, исторически сложилось так, что суммарные результаты тектонических исследований мы привыкли изображать на картах - старейших и основных геологических документах. Карты являются первыми геологическими моделями регионов и геологической структуры верхней оболочки Земли в целом. На геологические карты опираются и с ними, как правило, сравниваются все другие модели. По этой причине отмечается тенденция к увеличению количества условных знаков (т.е. признаков), которые мы выносим на карты. От этого они становится трудно читаемыми, а иногда и внутренне противоречивыми.</w:t>
      </w:r>
      <w:r w:rsidRPr="00D80E9A">
        <w:rPr>
          <w:rFonts w:ascii="Times New Roman" w:hAnsi="Times New Roman" w:cs="Times New Roman"/>
          <w:sz w:val="24"/>
          <w:szCs w:val="24"/>
        </w:rPr>
        <w:tab/>
      </w:r>
    </w:p>
    <w:p w:rsidR="00D80E9A" w:rsidRPr="00D80E9A" w:rsidRDefault="00D80E9A" w:rsidP="00D8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E9A">
        <w:rPr>
          <w:rFonts w:ascii="Times New Roman" w:hAnsi="Times New Roman" w:cs="Times New Roman"/>
          <w:sz w:val="24"/>
          <w:szCs w:val="24"/>
        </w:rPr>
        <w:t xml:space="preserve">Становится ясным, что широко распространенные сейчас методы геологической картографии не позволяют построить </w:t>
      </w:r>
      <w:proofErr w:type="spellStart"/>
      <w:r w:rsidRPr="00D80E9A">
        <w:rPr>
          <w:rFonts w:ascii="Times New Roman" w:hAnsi="Times New Roman" w:cs="Times New Roman"/>
          <w:sz w:val="24"/>
          <w:szCs w:val="24"/>
        </w:rPr>
        <w:t>легкочитаемую</w:t>
      </w:r>
      <w:proofErr w:type="spellEnd"/>
      <w:r w:rsidRPr="00D80E9A">
        <w:rPr>
          <w:rFonts w:ascii="Times New Roman" w:hAnsi="Times New Roman" w:cs="Times New Roman"/>
          <w:sz w:val="24"/>
          <w:szCs w:val="24"/>
        </w:rPr>
        <w:t xml:space="preserve"> карту, особенно геодинамики литосферы.</w:t>
      </w:r>
    </w:p>
    <w:p w:rsidR="00D80E9A" w:rsidRPr="00D80E9A" w:rsidRDefault="00D80E9A" w:rsidP="00D8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E9A">
        <w:rPr>
          <w:rFonts w:ascii="Times New Roman" w:hAnsi="Times New Roman" w:cs="Times New Roman"/>
          <w:sz w:val="24"/>
          <w:szCs w:val="24"/>
        </w:rPr>
        <w:t>Геодинамика литосферы - понятие, подразумевающее одновременное действие сложной многокомпонентной системы во времени и пространстве. Как же примирить требование относительно легкой читаемости карты и отображения на плане результатов сложно взаимосвязанных явлений? Возникает необходимость теоретической разработки комплексных (количественных или полуколичественных) геодинамических показателей для интегрированного отображения геодинамической ситуации.</w:t>
      </w:r>
    </w:p>
    <w:p w:rsidR="00D80E9A" w:rsidRPr="00D80E9A" w:rsidRDefault="00D80E9A" w:rsidP="00D8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E9A">
        <w:rPr>
          <w:rFonts w:ascii="Times New Roman" w:hAnsi="Times New Roman" w:cs="Times New Roman"/>
          <w:sz w:val="24"/>
          <w:szCs w:val="24"/>
        </w:rPr>
        <w:t xml:space="preserve">В целях общей характеристики геодинамической обстановки и районирования территорий по определенным критериям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Логачевым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>, С.И</w:t>
      </w:r>
      <w:r w:rsidRPr="00D80E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0E9A">
        <w:rPr>
          <w:rFonts w:ascii="Times New Roman" w:hAnsi="Times New Roman" w:cs="Times New Roman"/>
          <w:sz w:val="24"/>
          <w:szCs w:val="24"/>
        </w:rPr>
        <w:t>Шерманом</w:t>
      </w:r>
      <w:proofErr w:type="spellEnd"/>
      <w:r w:rsidRPr="00D80E9A">
        <w:rPr>
          <w:rFonts w:ascii="Times New Roman" w:hAnsi="Times New Roman" w:cs="Times New Roman"/>
          <w:sz w:val="24"/>
          <w:szCs w:val="24"/>
        </w:rPr>
        <w:t xml:space="preserve"> и К.Г. Леви (1985) было предложено использовать интегральный показатель, который по комплексу признаков характеризует геодинамическую активность литосферы в конкретный геологический период. В основу такого показателя положено несколько ведущих признаков, определяющих геодинамическую активность по ее непосредственному проявлению на поверхности Земли, т.е. через структуры, физические поля и процессы (таблица).</w:t>
      </w:r>
    </w:p>
    <w:p w:rsidR="00D80E9A" w:rsidRPr="00D80E9A" w:rsidRDefault="00D80E9A" w:rsidP="00D8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E9A">
        <w:rPr>
          <w:rFonts w:ascii="Times New Roman" w:hAnsi="Times New Roman" w:cs="Times New Roman"/>
          <w:sz w:val="24"/>
          <w:szCs w:val="24"/>
        </w:rPr>
        <w:t>В зависимости от вариаций количественных характеристик признаков они группируется и образуют, уже на качественном уровне, пять степеней активности литосферы, которые можно выразить через единый интегральный показатель. Он не связан с единицами измерений отдельных признаков и не зависит от небольших изменений значений каждого из них в отдельности. Этот показатель, как условный знак, рекомендуется выносить на карты геодинамической активности.</w:t>
      </w:r>
    </w:p>
    <w:p w:rsidR="00D80E9A" w:rsidRPr="00D80E9A" w:rsidRDefault="00D80E9A" w:rsidP="00D8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E9A">
        <w:rPr>
          <w:rFonts w:ascii="Times New Roman" w:hAnsi="Times New Roman" w:cs="Times New Roman"/>
          <w:sz w:val="24"/>
          <w:szCs w:val="24"/>
        </w:rPr>
        <w:t xml:space="preserve">Показано, что сейсмический потенциал территорий, выраженный через магнитуду, является одним из информативных показателей геодинамической активности литосферы в современный период. Намечены связи между параметрами сейсмичности и другими геолого-геофизическими признаками. Одинаковая степень геодинамической активности </w:t>
      </w:r>
      <w:r w:rsidRPr="00D80E9A">
        <w:rPr>
          <w:rFonts w:ascii="Times New Roman" w:hAnsi="Times New Roman" w:cs="Times New Roman"/>
          <w:sz w:val="24"/>
          <w:szCs w:val="24"/>
        </w:rPr>
        <w:lastRenderedPageBreak/>
        <w:t>литосферы может быть проявлена различными механизмами очагов и режимами сейсмической активности.</w:t>
      </w:r>
    </w:p>
    <w:p w:rsidR="00D80E9A" w:rsidRPr="00D80E9A" w:rsidRDefault="00D80E9A" w:rsidP="00D8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E9A">
        <w:rPr>
          <w:rFonts w:ascii="Times New Roman" w:hAnsi="Times New Roman" w:cs="Times New Roman"/>
          <w:sz w:val="24"/>
          <w:szCs w:val="24"/>
        </w:rPr>
        <w:t>В докладе рассмотрены принципы построения различных карг геодинамической активности регионов и демонстрируется карта геодинамической активности литосферы Сибири в кайнозое.</w:t>
      </w:r>
    </w:p>
    <w:p w:rsidR="00D80E9A" w:rsidRPr="00D80E9A" w:rsidRDefault="00D80E9A" w:rsidP="00D80E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80E9A">
        <w:rPr>
          <w:rFonts w:ascii="Times New Roman" w:hAnsi="Times New Roman" w:cs="Times New Roman"/>
          <w:sz w:val="24"/>
          <w:szCs w:val="24"/>
        </w:rPr>
        <w:tab/>
      </w:r>
      <w:r w:rsidRPr="00D80E9A">
        <w:rPr>
          <w:rFonts w:ascii="Times New Roman" w:hAnsi="Times New Roman" w:cs="Times New Roman"/>
          <w:sz w:val="24"/>
          <w:szCs w:val="24"/>
        </w:rPr>
        <w:tab/>
      </w:r>
      <w:r w:rsidRPr="00D80E9A">
        <w:rPr>
          <w:rFonts w:ascii="Times New Roman" w:hAnsi="Times New Roman" w:cs="Times New Roman"/>
          <w:sz w:val="24"/>
          <w:szCs w:val="24"/>
        </w:rPr>
        <w:tab/>
      </w:r>
      <w:r w:rsidRPr="00D80E9A">
        <w:rPr>
          <w:rFonts w:ascii="Times New Roman" w:hAnsi="Times New Roman" w:cs="Times New Roman"/>
          <w:sz w:val="24"/>
          <w:szCs w:val="24"/>
        </w:rPr>
        <w:tab/>
      </w:r>
      <w:r w:rsidRPr="00D80E9A">
        <w:rPr>
          <w:rFonts w:ascii="Times New Roman" w:hAnsi="Times New Roman" w:cs="Times New Roman"/>
          <w:sz w:val="24"/>
          <w:szCs w:val="24"/>
        </w:rPr>
        <w:tab/>
        <w:t>Таблица</w:t>
      </w:r>
    </w:p>
    <w:p w:rsidR="00D80E9A" w:rsidRDefault="00D80E9A" w:rsidP="00D80E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E9A">
        <w:rPr>
          <w:rFonts w:ascii="Times New Roman" w:hAnsi="Times New Roman" w:cs="Times New Roman"/>
          <w:sz w:val="24"/>
          <w:szCs w:val="24"/>
        </w:rPr>
        <w:t>Геолого-геофизические показатели геодинамической активности литосферы (по 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A">
        <w:rPr>
          <w:rFonts w:ascii="Times New Roman" w:hAnsi="Times New Roman" w:cs="Times New Roman"/>
          <w:sz w:val="24"/>
          <w:szCs w:val="24"/>
        </w:rPr>
        <w:t>Логачеву</w:t>
      </w:r>
      <w:proofErr w:type="spellEnd"/>
      <w:r w:rsidRPr="00D80E9A">
        <w:rPr>
          <w:rFonts w:ascii="Times New Roman" w:hAnsi="Times New Roman" w:cs="Times New Roman"/>
          <w:sz w:val="24"/>
          <w:szCs w:val="24"/>
        </w:rPr>
        <w:t xml:space="preserve"> и др., 1985)</w:t>
      </w:r>
    </w:p>
    <w:p w:rsidR="00D80E9A" w:rsidRPr="00D80E9A" w:rsidRDefault="00D80E9A" w:rsidP="00D80E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701"/>
        <w:gridCol w:w="1701"/>
        <w:gridCol w:w="1134"/>
        <w:gridCol w:w="1114"/>
      </w:tblGrid>
      <w:tr w:rsidR="00D80E9A" w:rsidRPr="00D80E9A" w:rsidTr="00281256">
        <w:tc>
          <w:tcPr>
            <w:tcW w:w="1242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 xml:space="preserve">Амплитуда </w:t>
            </w:r>
            <w:proofErr w:type="gramStart"/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вертикаль-</w:t>
            </w:r>
            <w:proofErr w:type="spellStart"/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D80E9A">
              <w:rPr>
                <w:rFonts w:ascii="Times New Roman" w:hAnsi="Times New Roman" w:cs="Times New Roman"/>
                <w:sz w:val="20"/>
                <w:szCs w:val="20"/>
              </w:rPr>
              <w:t xml:space="preserve"> неотектонических движений, м</w:t>
            </w:r>
          </w:p>
        </w:tc>
        <w:tc>
          <w:tcPr>
            <w:tcW w:w="1418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 xml:space="preserve">Амплитуды </w:t>
            </w:r>
            <w:proofErr w:type="gramStart"/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горизонталь-</w:t>
            </w:r>
            <w:proofErr w:type="spellStart"/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D80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неотекто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нических</w:t>
            </w:r>
            <w:proofErr w:type="spellEnd"/>
            <w:r w:rsidRPr="00D80E9A">
              <w:rPr>
                <w:rFonts w:ascii="Times New Roman" w:hAnsi="Times New Roman" w:cs="Times New Roman"/>
                <w:sz w:val="20"/>
                <w:szCs w:val="20"/>
              </w:rPr>
              <w:t xml:space="preserve"> движений, м</w:t>
            </w:r>
          </w:p>
        </w:tc>
        <w:tc>
          <w:tcPr>
            <w:tcW w:w="1276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Примерная мощность литосферы, км</w:t>
            </w:r>
          </w:p>
        </w:tc>
        <w:tc>
          <w:tcPr>
            <w:tcW w:w="1701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Сейсмический потенциал (максимальная магнитуда известных землетрясений</w:t>
            </w:r>
          </w:p>
        </w:tc>
        <w:tc>
          <w:tcPr>
            <w:tcW w:w="1701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Площадь распространения кайнозойских магматических образований, %</w:t>
            </w:r>
          </w:p>
        </w:tc>
        <w:tc>
          <w:tcPr>
            <w:tcW w:w="1134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Плотность теплового потока, мВт/м</w:t>
            </w:r>
            <w:r w:rsidRPr="00D80E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4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гральный</w:t>
            </w:r>
            <w:proofErr w:type="spellEnd"/>
            <w:proofErr w:type="gramEnd"/>
            <w:r w:rsidRPr="00D80E9A">
              <w:rPr>
                <w:rFonts w:ascii="Times New Roman" w:hAnsi="Times New Roman" w:cs="Times New Roman"/>
                <w:sz w:val="20"/>
                <w:szCs w:val="20"/>
              </w:rPr>
              <w:t xml:space="preserve">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D80E9A">
              <w:rPr>
                <w:rFonts w:ascii="Times New Roman" w:hAnsi="Times New Roman" w:cs="Times New Roman"/>
                <w:sz w:val="20"/>
                <w:szCs w:val="20"/>
              </w:rPr>
              <w:t xml:space="preserve"> и степень актив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D80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литосфе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</w:p>
        </w:tc>
      </w:tr>
      <w:tr w:rsidR="00D80E9A" w:rsidRPr="00D80E9A" w:rsidTr="00281256">
        <w:tc>
          <w:tcPr>
            <w:tcW w:w="1242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ервые метры</w:t>
            </w:r>
          </w:p>
        </w:tc>
        <w:tc>
          <w:tcPr>
            <w:tcW w:w="1276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4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1 Очень низкая</w:t>
            </w:r>
          </w:p>
        </w:tc>
      </w:tr>
      <w:tr w:rsidR="00D80E9A" w:rsidRPr="00D80E9A" w:rsidTr="00281256">
        <w:tc>
          <w:tcPr>
            <w:tcW w:w="1242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250-5</w:t>
            </w: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есятки метров</w:t>
            </w:r>
          </w:p>
        </w:tc>
        <w:tc>
          <w:tcPr>
            <w:tcW w:w="1276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1701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30-50</w:t>
            </w:r>
          </w:p>
        </w:tc>
        <w:tc>
          <w:tcPr>
            <w:tcW w:w="1114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2 низкая</w:t>
            </w:r>
          </w:p>
        </w:tc>
      </w:tr>
      <w:tr w:rsidR="00D80E9A" w:rsidRPr="00D80E9A" w:rsidTr="00281256">
        <w:tc>
          <w:tcPr>
            <w:tcW w:w="1242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500-1000</w:t>
            </w:r>
          </w:p>
        </w:tc>
        <w:tc>
          <w:tcPr>
            <w:tcW w:w="1418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80E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100-150</w:t>
            </w:r>
          </w:p>
        </w:tc>
        <w:tc>
          <w:tcPr>
            <w:tcW w:w="1701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1, редкие</w:t>
            </w:r>
          </w:p>
        </w:tc>
        <w:tc>
          <w:tcPr>
            <w:tcW w:w="1134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50-70</w:t>
            </w:r>
          </w:p>
        </w:tc>
        <w:tc>
          <w:tcPr>
            <w:tcW w:w="1114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3 средняя</w:t>
            </w:r>
          </w:p>
        </w:tc>
      </w:tr>
      <w:tr w:rsidR="00D80E9A" w:rsidRPr="00D80E9A" w:rsidTr="00281256">
        <w:tc>
          <w:tcPr>
            <w:tcW w:w="1242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1000-2000</w:t>
            </w:r>
          </w:p>
        </w:tc>
        <w:tc>
          <w:tcPr>
            <w:tcW w:w="1418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80E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1701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701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  <w:tc>
          <w:tcPr>
            <w:tcW w:w="1134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70-90</w:t>
            </w:r>
          </w:p>
        </w:tc>
        <w:tc>
          <w:tcPr>
            <w:tcW w:w="1114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4 высокая</w:t>
            </w:r>
          </w:p>
        </w:tc>
      </w:tr>
      <w:tr w:rsidR="00D80E9A" w:rsidRPr="00D80E9A" w:rsidTr="00281256">
        <w:tc>
          <w:tcPr>
            <w:tcW w:w="1242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80E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70* или 150**</w:t>
            </w:r>
          </w:p>
        </w:tc>
        <w:tc>
          <w:tcPr>
            <w:tcW w:w="1701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14" w:type="dxa"/>
            <w:shd w:val="clear" w:color="auto" w:fill="auto"/>
          </w:tcPr>
          <w:p w:rsidR="00D80E9A" w:rsidRPr="00D80E9A" w:rsidRDefault="00D80E9A" w:rsidP="00D80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sz w:val="20"/>
                <w:szCs w:val="20"/>
              </w:rPr>
              <w:t>5 очень высокая</w:t>
            </w:r>
          </w:p>
        </w:tc>
      </w:tr>
    </w:tbl>
    <w:p w:rsidR="00D80E9A" w:rsidRDefault="00D80E9A" w:rsidP="00D8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E9A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D80E9A" w:rsidRPr="00D80E9A" w:rsidRDefault="00D80E9A" w:rsidP="00D8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*</w:t>
      </w:r>
      <w:r w:rsidRPr="00D80E9A">
        <w:rPr>
          <w:rFonts w:ascii="Times New Roman" w:hAnsi="Times New Roman" w:cs="Times New Roman"/>
          <w:sz w:val="24"/>
          <w:szCs w:val="24"/>
        </w:rPr>
        <w:t>Как правило при нормальном развитии литосфер.</w:t>
      </w:r>
    </w:p>
    <w:p w:rsidR="00D80E9A" w:rsidRPr="00D80E9A" w:rsidRDefault="00D80E9A" w:rsidP="00D8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D80E9A">
        <w:rPr>
          <w:rFonts w:ascii="Times New Roman" w:hAnsi="Times New Roman" w:cs="Times New Roman"/>
          <w:sz w:val="24"/>
          <w:szCs w:val="24"/>
        </w:rPr>
        <w:t>При увеличении мощности литосферы в зонах континентальной коллизии.</w:t>
      </w:r>
    </w:p>
    <w:p w:rsidR="000C2741" w:rsidRPr="000C2741" w:rsidRDefault="000C2741" w:rsidP="000C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C2741" w:rsidRPr="000C2741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76" w:rsidRDefault="00963576" w:rsidP="00225086">
      <w:pPr>
        <w:spacing w:after="0" w:line="240" w:lineRule="auto"/>
      </w:pPr>
      <w:r>
        <w:separator/>
      </w:r>
    </w:p>
  </w:endnote>
  <w:endnote w:type="continuationSeparator" w:id="0">
    <w:p w:rsidR="00963576" w:rsidRDefault="00963576" w:rsidP="0022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76" w:rsidRDefault="00963576" w:rsidP="00225086">
      <w:pPr>
        <w:spacing w:after="0" w:line="240" w:lineRule="auto"/>
      </w:pPr>
      <w:r>
        <w:separator/>
      </w:r>
    </w:p>
  </w:footnote>
  <w:footnote w:type="continuationSeparator" w:id="0">
    <w:p w:rsidR="00963576" w:rsidRDefault="00963576" w:rsidP="00225086">
      <w:pPr>
        <w:spacing w:after="0" w:line="240" w:lineRule="auto"/>
      </w:pPr>
      <w:r>
        <w:continuationSeparator/>
      </w:r>
    </w:p>
  </w:footnote>
  <w:footnote w:id="1">
    <w:p w:rsidR="00225086" w:rsidRPr="00225086" w:rsidRDefault="00225086">
      <w:pPr>
        <w:pStyle w:val="a3"/>
        <w:rPr>
          <w:rFonts w:ascii="Times New Roman" w:hAnsi="Times New Roman" w:cs="Times New Roman"/>
        </w:rPr>
      </w:pPr>
      <w:r w:rsidRPr="00225086">
        <w:rPr>
          <w:rStyle w:val="a5"/>
          <w:rFonts w:ascii="Times New Roman" w:hAnsi="Times New Roman" w:cs="Times New Roman"/>
        </w:rPr>
        <w:t>*</w:t>
      </w:r>
      <w:r w:rsidRPr="002250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Соавторы </w:t>
      </w:r>
      <w:r w:rsidRPr="00225086">
        <w:rPr>
          <w:rFonts w:ascii="Times New Roman" w:hAnsi="Times New Roman" w:cs="Times New Roman"/>
        </w:rPr>
        <w:t xml:space="preserve">Н.А. </w:t>
      </w:r>
      <w:proofErr w:type="spellStart"/>
      <w:r w:rsidRPr="00225086">
        <w:rPr>
          <w:rFonts w:ascii="Times New Roman" w:hAnsi="Times New Roman" w:cs="Times New Roman"/>
        </w:rPr>
        <w:t>Логачев</w:t>
      </w:r>
      <w:proofErr w:type="spellEnd"/>
      <w:r w:rsidRPr="00225086">
        <w:rPr>
          <w:rFonts w:ascii="Times New Roman" w:hAnsi="Times New Roman" w:cs="Times New Roman"/>
        </w:rPr>
        <w:t>, К.Г. Леви</w:t>
      </w:r>
      <w:r>
        <w:rPr>
          <w:rFonts w:ascii="Times New Roman" w:hAnsi="Times New Roman" w:cs="Times New Roman"/>
        </w:rPr>
        <w:t>.</w:t>
      </w:r>
      <w:r w:rsidRPr="00225086">
        <w:rPr>
          <w:rFonts w:ascii="Times New Roman" w:hAnsi="Times New Roman" w:cs="Times New Roman"/>
        </w:rPr>
        <w:t xml:space="preserve"> Современная тектоническая активность Земли и проблемы сейсмичности. </w:t>
      </w:r>
      <w:proofErr w:type="gramStart"/>
      <w:r w:rsidRPr="00225086">
        <w:rPr>
          <w:rFonts w:ascii="Times New Roman" w:hAnsi="Times New Roman" w:cs="Times New Roman"/>
        </w:rPr>
        <w:t>–  М.</w:t>
      </w:r>
      <w:proofErr w:type="gramEnd"/>
      <w:r w:rsidRPr="00225086">
        <w:rPr>
          <w:rFonts w:ascii="Times New Roman" w:hAnsi="Times New Roman" w:cs="Times New Roman"/>
        </w:rPr>
        <w:t xml:space="preserve">: </w:t>
      </w:r>
      <w:proofErr w:type="spellStart"/>
      <w:r w:rsidRPr="00225086">
        <w:rPr>
          <w:rFonts w:ascii="Times New Roman" w:hAnsi="Times New Roman" w:cs="Times New Roman"/>
        </w:rPr>
        <w:t>Междуведомств</w:t>
      </w:r>
      <w:proofErr w:type="spellEnd"/>
      <w:r w:rsidRPr="00225086">
        <w:rPr>
          <w:rFonts w:ascii="Times New Roman" w:hAnsi="Times New Roman" w:cs="Times New Roman"/>
        </w:rPr>
        <w:t>. тектонический  комитет, 1986. – С. 14–16.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DC"/>
    <w:rsid w:val="00004C24"/>
    <w:rsid w:val="000C2741"/>
    <w:rsid w:val="001C41DC"/>
    <w:rsid w:val="00225086"/>
    <w:rsid w:val="00963576"/>
    <w:rsid w:val="00D8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A15BF7-C986-4565-902F-315E81DA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50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508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50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65A14-22AC-46A8-A28F-1F0283A9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4</cp:revision>
  <dcterms:created xsi:type="dcterms:W3CDTF">2017-03-30T09:36:00Z</dcterms:created>
  <dcterms:modified xsi:type="dcterms:W3CDTF">2017-03-30T09:41:00Z</dcterms:modified>
</cp:coreProperties>
</file>