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B6" w:rsidRDefault="000146B6" w:rsidP="00287F00">
      <w:pPr>
        <w:ind w:firstLine="709"/>
        <w:jc w:val="center"/>
        <w:rPr>
          <w:b/>
          <w:lang w:val="en-US"/>
        </w:rPr>
      </w:pPr>
    </w:p>
    <w:p w:rsidR="000146B6" w:rsidRDefault="000146B6" w:rsidP="00287F00">
      <w:pPr>
        <w:ind w:firstLine="709"/>
        <w:jc w:val="center"/>
        <w:rPr>
          <w:b/>
          <w:lang w:val="en-US"/>
        </w:rPr>
      </w:pPr>
    </w:p>
    <w:p w:rsidR="000146B6" w:rsidRDefault="000146B6" w:rsidP="00287F00">
      <w:pPr>
        <w:ind w:firstLine="709"/>
        <w:jc w:val="center"/>
        <w:rPr>
          <w:b/>
        </w:rPr>
      </w:pPr>
    </w:p>
    <w:p w:rsidR="000146B6" w:rsidRDefault="000146B6" w:rsidP="00287F00">
      <w:pPr>
        <w:ind w:firstLine="709"/>
        <w:jc w:val="center"/>
        <w:rPr>
          <w:b/>
        </w:rPr>
      </w:pPr>
      <w:r>
        <w:rPr>
          <w:b/>
        </w:rPr>
        <w:t xml:space="preserve">С.И. </w:t>
      </w:r>
      <w:proofErr w:type="spellStart"/>
      <w:r>
        <w:rPr>
          <w:b/>
        </w:rPr>
        <w:t>Шерман</w:t>
      </w:r>
      <w:bookmarkStart w:id="0" w:name="_GoBack"/>
      <w:bookmarkEnd w:id="0"/>
      <w:proofErr w:type="spellEnd"/>
    </w:p>
    <w:p w:rsidR="00287F00" w:rsidRPr="00305D26" w:rsidRDefault="00287F00" w:rsidP="00287F00">
      <w:pPr>
        <w:ind w:firstLine="709"/>
        <w:jc w:val="center"/>
        <w:rPr>
          <w:b/>
        </w:rPr>
      </w:pPr>
      <w:r w:rsidRPr="00305D26">
        <w:rPr>
          <w:b/>
        </w:rPr>
        <w:t>НОВАЯ КАРТА НЕОТЕКТОНИКИ И ПОЛЕЙ НАПРЯЖЕНИЙ БАЙКАЛЬСКОЙ РИФТОВОЙ ЗОНЫ</w:t>
      </w:r>
      <w:r w:rsidRPr="00305D26">
        <w:rPr>
          <w:rStyle w:val="a5"/>
          <w:b/>
        </w:rPr>
        <w:footnoteReference w:customMarkFollows="1" w:id="1"/>
        <w:t>*</w:t>
      </w:r>
    </w:p>
    <w:p w:rsidR="00287F00" w:rsidRPr="00305D26" w:rsidRDefault="00287F00" w:rsidP="00287F00">
      <w:pPr>
        <w:ind w:firstLine="709"/>
      </w:pPr>
    </w:p>
    <w:p w:rsidR="00287F00" w:rsidRPr="00305D26" w:rsidRDefault="00287F00" w:rsidP="00287F00">
      <w:pPr>
        <w:ind w:firstLine="709"/>
        <w:jc w:val="both"/>
        <w:rPr>
          <w:b/>
        </w:rPr>
      </w:pPr>
      <w:r w:rsidRPr="00305D26">
        <w:t xml:space="preserve">В настоящее время развитие геотектоники идет по пути учета вертикальных и горизонтальных перемещений </w:t>
      </w:r>
      <w:proofErr w:type="spellStart"/>
      <w:r w:rsidRPr="00305D26">
        <w:t>геоблоков</w:t>
      </w:r>
      <w:proofErr w:type="spellEnd"/>
      <w:r w:rsidRPr="00305D26">
        <w:t xml:space="preserve"> земной коры, внутри которых факти</w:t>
      </w:r>
      <w:r w:rsidRPr="00305D26">
        <w:softHyphen/>
        <w:t xml:space="preserve">чески установлены крупные </w:t>
      </w:r>
      <w:proofErr w:type="spellStart"/>
      <w:r w:rsidRPr="00305D26">
        <w:t>внутриблоковые</w:t>
      </w:r>
      <w:proofErr w:type="spellEnd"/>
      <w:r w:rsidRPr="00305D26">
        <w:t xml:space="preserve"> горизонтальные движения, захваты</w:t>
      </w:r>
      <w:r w:rsidRPr="00305D26">
        <w:softHyphen/>
        <w:t xml:space="preserve">вающие обширные площади. Имеются в виду </w:t>
      </w:r>
      <w:proofErr w:type="spellStart"/>
      <w:r w:rsidRPr="00305D26">
        <w:t>шарьяжные</w:t>
      </w:r>
      <w:proofErr w:type="spellEnd"/>
      <w:r w:rsidRPr="00305D26">
        <w:t xml:space="preserve"> зоны Альп, крупные сдвиги типа Грейт-</w:t>
      </w:r>
      <w:proofErr w:type="spellStart"/>
      <w:r w:rsidRPr="00305D26">
        <w:t>Глен</w:t>
      </w:r>
      <w:proofErr w:type="spellEnd"/>
      <w:r w:rsidRPr="00305D26">
        <w:t xml:space="preserve"> или </w:t>
      </w:r>
      <w:proofErr w:type="spellStart"/>
      <w:r w:rsidRPr="00305D26">
        <w:t>Талассо</w:t>
      </w:r>
      <w:proofErr w:type="spellEnd"/>
      <w:r w:rsidRPr="00305D26">
        <w:t xml:space="preserve">-Ферганского, зоны растяжения Восточно-Африканской, Байкальской и других континентальных </w:t>
      </w:r>
      <w:proofErr w:type="spellStart"/>
      <w:r w:rsidRPr="00305D26">
        <w:t>рифтовых</w:t>
      </w:r>
      <w:proofErr w:type="spellEnd"/>
      <w:r w:rsidRPr="00305D26">
        <w:t xml:space="preserve"> систем, </w:t>
      </w:r>
      <w:proofErr w:type="spellStart"/>
      <w:r w:rsidRPr="00305D26">
        <w:t>Гиссарская</w:t>
      </w:r>
      <w:proofErr w:type="spellEnd"/>
      <w:r w:rsidRPr="00305D26">
        <w:t xml:space="preserve"> зона </w:t>
      </w:r>
      <w:proofErr w:type="spellStart"/>
      <w:r w:rsidRPr="00305D26">
        <w:t>скучивания</w:t>
      </w:r>
      <w:proofErr w:type="spellEnd"/>
      <w:r w:rsidRPr="00305D26">
        <w:t xml:space="preserve"> и др.</w:t>
      </w:r>
    </w:p>
    <w:p w:rsidR="00287F00" w:rsidRPr="00305D26" w:rsidRDefault="00287F00" w:rsidP="00287F00">
      <w:pPr>
        <w:ind w:firstLine="709"/>
        <w:jc w:val="both"/>
      </w:pPr>
      <w:r w:rsidRPr="00305D26">
        <w:t>Весь имеющийся материал (1-6 и др.) с большой убедительностью свидетельствует о необходимости выделять на тектонических и особенно на нео</w:t>
      </w:r>
      <w:r w:rsidRPr="00305D26">
        <w:softHyphen/>
        <w:t>тектонических картах области и районы с горизонтальными смещениями коры. Действительно, преобладающее большинство из известных неотектонических карт строится на одном из двух принципов: геоморфологическом или структурном. В первом случае основу карты образуют неотектонические структуры, выявленные по анализу кайнозойских отложений и поверхностей выравнивания. Нередко это морфологические категории рельефа, которым без достаточной аргу</w:t>
      </w:r>
      <w:r w:rsidRPr="00305D26">
        <w:softHyphen/>
        <w:t xml:space="preserve">ментации придается неотектонический смысл. Во втором случае неотектонические формы выделяются по анализу высот рельефа, </w:t>
      </w:r>
      <w:proofErr w:type="spellStart"/>
      <w:r w:rsidRPr="00305D26">
        <w:t>гидросети</w:t>
      </w:r>
      <w:proofErr w:type="spellEnd"/>
      <w:r w:rsidRPr="00305D26">
        <w:t>, разломов и других геоло</w:t>
      </w:r>
      <w:r w:rsidRPr="00305D26">
        <w:softHyphen/>
        <w:t xml:space="preserve">гических структур после соответствующих методических преобразований (например, (7)). Принимается, что наиболее высокие формы рельефа - результат вертикальных движений земной коры. На таком принципе построены серии неотектонических карт Восточно-Африканской рифтовой зоны (8) Байкальской рифтовой зоны (9), Западного </w:t>
      </w:r>
      <w:proofErr w:type="spellStart"/>
      <w:r w:rsidRPr="00305D26">
        <w:t>Саяна</w:t>
      </w:r>
      <w:proofErr w:type="spellEnd"/>
      <w:r w:rsidRPr="00305D26">
        <w:t xml:space="preserve"> (10), новейшей тектоники СССР (11) и др. Отсутствие на этих картах акцента на районы или области, вовлеченные в горизонтальные движения коры, обедняет их содержание и является существенным методическим несовер</w:t>
      </w:r>
      <w:r w:rsidRPr="00305D26">
        <w:softHyphen/>
        <w:t>шенством.</w:t>
      </w:r>
    </w:p>
    <w:p w:rsidR="00287F00" w:rsidRPr="00305D26" w:rsidRDefault="00287F00" w:rsidP="00287F00">
      <w:pPr>
        <w:ind w:firstLine="709"/>
        <w:jc w:val="both"/>
      </w:pPr>
      <w:r w:rsidRPr="00305D26">
        <w:t xml:space="preserve">   В основу построения новой неотектонической карты Байкальской рифтовой зоны (БРЗ) положен структурно-динамический принцип. Он учитывает как кри</w:t>
      </w:r>
      <w:r w:rsidRPr="00305D26">
        <w:softHyphen/>
        <w:t xml:space="preserve">терии анализа вертикальных движений коры, которые успешно использованы в (8-11) и др. работах, так и </w:t>
      </w:r>
      <w:proofErr w:type="gramStart"/>
      <w:r w:rsidRPr="00305D26">
        <w:t>признаки</w:t>
      </w:r>
      <w:proofErr w:type="gramEnd"/>
      <w:r w:rsidRPr="00305D26">
        <w:t xml:space="preserve"> и критерии выделения районов, вовлеченных в горизонтальные движения. Последние </w:t>
      </w:r>
      <w:proofErr w:type="spellStart"/>
      <w:r w:rsidRPr="00305D26">
        <w:t>оконтуриваются</w:t>
      </w:r>
      <w:proofErr w:type="spellEnd"/>
      <w:r w:rsidRPr="00305D26">
        <w:t xml:space="preserve"> по поверхностным струк</w:t>
      </w:r>
      <w:r w:rsidRPr="00305D26">
        <w:softHyphen/>
        <w:t>турным формам с учетом ширины зоны их динамического влияния (5) по сейсмо</w:t>
      </w:r>
      <w:r w:rsidRPr="00305D26">
        <w:softHyphen/>
        <w:t>логическим данным (13) или другим структурным критериям (12). Для того чтобы отразить каждую из составляющих сложного комплекса движений, принято верти</w:t>
      </w:r>
      <w:r w:rsidRPr="00305D26">
        <w:softHyphen/>
        <w:t>кальную компоненту и ее амплитуду показывать изобазами, а горизонтальную ком</w:t>
      </w:r>
      <w:r w:rsidRPr="00305D26">
        <w:softHyphen/>
        <w:t>поненту—штриховкой. Общая деформация отражается наложением этих графических изображений. Такой подход позволяет проанализировать поля напряжений, рекон</w:t>
      </w:r>
      <w:r w:rsidRPr="00305D26">
        <w:softHyphen/>
        <w:t xml:space="preserve">струируемые по комплексу геолого-геофизических данных (5,12-14) провести неотектоническое районирование по типу движений коры и на их базе составить новую карту неотектоники БРЗ (рис. 1).   </w:t>
      </w:r>
    </w:p>
    <w:p w:rsidR="00287F00" w:rsidRPr="00305D26" w:rsidRDefault="00287F00" w:rsidP="00287F00">
      <w:pPr>
        <w:ind w:firstLine="709"/>
      </w:pPr>
      <w:r w:rsidRPr="00305D26">
        <w:br w:type="page"/>
      </w:r>
    </w:p>
    <w:p w:rsidR="00287F00" w:rsidRPr="00305D26" w:rsidRDefault="00287F00" w:rsidP="00287F00">
      <w:pPr>
        <w:ind w:firstLine="709"/>
        <w:jc w:val="both"/>
        <w:sectPr w:rsidR="00287F00" w:rsidRPr="00305D26" w:rsidSect="00246A93">
          <w:footnotePr>
            <w:numFmt w:val="chicago"/>
            <w:numRestart w:val="eachPage"/>
          </w:footnotePr>
          <w:type w:val="nextColumn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87F00" w:rsidRPr="00305D26" w:rsidRDefault="004F4EDF" w:rsidP="00287F00">
      <w:pPr>
        <w:ind w:firstLine="709"/>
        <w:jc w:val="center"/>
      </w:pPr>
      <w:r w:rsidRPr="004F4EDF">
        <w:rPr>
          <w:noProof/>
        </w:rPr>
        <w:lastRenderedPageBreak/>
        <w:drawing>
          <wp:inline distT="0" distB="0" distL="0" distR="0">
            <wp:extent cx="6823880" cy="4610349"/>
            <wp:effectExtent l="0" t="0" r="0" b="0"/>
            <wp:docPr id="1" name="Рисунок 1" descr="D:\18НАУЧНАЯ РАБОТА\01СТАТЬИ\2017\ТРУДЫ\КНИГА\ТЕМА 3\Рисунки Обраб\[92] ДАН, 1979, Т.249, №2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92] ДАН, 1979, Т.249, №2, рис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86" cy="463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00" w:rsidRPr="00305D26" w:rsidRDefault="00287F00" w:rsidP="00287F00">
      <w:pPr>
        <w:ind w:firstLine="709"/>
        <w:jc w:val="both"/>
      </w:pPr>
      <w:r w:rsidRPr="00305D26">
        <w:t xml:space="preserve">Рис. 1. Карта неотектоники и полей напряжений Байкальской рифтовой зоны (на врезке — схема ориентировки главных нормальных напряжений в Байкальской рифтовой зоне). Преобладающие типы движений коры: 1 - горизонтальные с </w:t>
      </w:r>
      <w:proofErr w:type="spellStart"/>
      <w:r w:rsidRPr="00305D26">
        <w:t>раздвиговым</w:t>
      </w:r>
      <w:proofErr w:type="spellEnd"/>
      <w:r w:rsidRPr="00305D26">
        <w:t xml:space="preserve"> полем напряжений, 2 - гори </w:t>
      </w:r>
      <w:proofErr w:type="spellStart"/>
      <w:r w:rsidRPr="00305D26">
        <w:t>зонтальные</w:t>
      </w:r>
      <w:proofErr w:type="spellEnd"/>
      <w:r w:rsidRPr="00305D26">
        <w:t xml:space="preserve"> со сдвиговым полем напряжений, 3 - вертикальные со сбросовым полем напряжений. Типы крупных разломов кайнозойской активизации: 4 - трансформные, 5 - сбросы, 6 - </w:t>
      </w:r>
      <w:proofErr w:type="spellStart"/>
      <w:r w:rsidRPr="00305D26">
        <w:t>сдвиго</w:t>
      </w:r>
      <w:proofErr w:type="spellEnd"/>
      <w:r w:rsidRPr="00305D26">
        <w:t xml:space="preserve">-сбросы, 7 — </w:t>
      </w:r>
      <w:proofErr w:type="spellStart"/>
      <w:r w:rsidRPr="00305D26">
        <w:t>сдвиго</w:t>
      </w:r>
      <w:proofErr w:type="spellEnd"/>
      <w:r w:rsidRPr="00305D26">
        <w:t xml:space="preserve">-взбросы, 8 - надвиги, 9 — зоны повышенной </w:t>
      </w:r>
      <w:proofErr w:type="spellStart"/>
      <w:r w:rsidRPr="00305D26">
        <w:t>трещиноватости</w:t>
      </w:r>
      <w:proofErr w:type="spellEnd"/>
      <w:r w:rsidRPr="00305D26">
        <w:t xml:space="preserve">, соответствующие зарождающимся разломам; 10 - повышенная магматическая проницаемость коры; 11 - кайнозойские впадины; 12 - граница рифтовой зоны; 13 - направление главных осей нормальных напряжений (а - </w:t>
      </w:r>
      <w:r w:rsidRPr="00305D26">
        <w:sym w:font="Symbol" w:char="F073"/>
      </w:r>
      <w:r w:rsidRPr="00305D26">
        <w:rPr>
          <w:vertAlign w:val="subscript"/>
        </w:rPr>
        <w:t>1</w:t>
      </w:r>
      <w:r w:rsidRPr="00305D26">
        <w:t xml:space="preserve">, б - </w:t>
      </w:r>
      <w:r w:rsidRPr="00305D26">
        <w:sym w:font="Symbol" w:char="F073"/>
      </w:r>
      <w:r w:rsidRPr="00305D26">
        <w:rPr>
          <w:vertAlign w:val="subscript"/>
        </w:rPr>
        <w:t>2</w:t>
      </w:r>
      <w:r w:rsidRPr="00305D26">
        <w:t xml:space="preserve">, в - </w:t>
      </w:r>
      <w:r w:rsidRPr="00305D26">
        <w:sym w:font="Symbol" w:char="F073"/>
      </w:r>
      <w:r w:rsidRPr="00305D26">
        <w:rPr>
          <w:vertAlign w:val="subscript"/>
        </w:rPr>
        <w:t>3</w:t>
      </w:r>
      <w:r w:rsidRPr="00305D26">
        <w:t>); 14 - кайнозойские плиты; 15 - эпицентры землетрясений</w:t>
      </w:r>
    </w:p>
    <w:p w:rsidR="00287F00" w:rsidRPr="00305D26" w:rsidRDefault="00287F00" w:rsidP="00287F00">
      <w:pPr>
        <w:ind w:firstLine="709"/>
        <w:jc w:val="both"/>
      </w:pPr>
    </w:p>
    <w:p w:rsidR="00287F00" w:rsidRPr="00305D26" w:rsidRDefault="00287F00" w:rsidP="00287F00">
      <w:pPr>
        <w:ind w:firstLine="709"/>
        <w:jc w:val="both"/>
        <w:sectPr w:rsidR="00287F00" w:rsidRPr="00305D26" w:rsidSect="00246A93">
          <w:footnotePr>
            <w:numFmt w:val="chicago"/>
            <w:numRestart w:val="eachPage"/>
          </w:footnotePr>
          <w:type w:val="nextColumn"/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287F00" w:rsidRPr="00305D26" w:rsidRDefault="00287F00" w:rsidP="00287F00">
      <w:pPr>
        <w:ind w:firstLine="709"/>
      </w:pPr>
      <w:r w:rsidRPr="00305D26">
        <w:lastRenderedPageBreak/>
        <w:t>В пределах БРЗ по преобладающему вектору движений коры в неотекто</w:t>
      </w:r>
      <w:r w:rsidRPr="00305D26">
        <w:softHyphen/>
        <w:t>нический этап развития выделяются три типа областей.</w:t>
      </w:r>
    </w:p>
    <w:p w:rsidR="00287F00" w:rsidRPr="00305D26" w:rsidRDefault="00287F00" w:rsidP="00287F00">
      <w:pPr>
        <w:ind w:firstLine="709"/>
        <w:jc w:val="both"/>
      </w:pPr>
      <w:r w:rsidRPr="00305D26">
        <w:t xml:space="preserve">1. </w:t>
      </w:r>
      <w:r w:rsidRPr="00305D26">
        <w:rPr>
          <w:i/>
        </w:rPr>
        <w:t xml:space="preserve">Области преобладания горизонтальных движений коры с </w:t>
      </w:r>
      <w:proofErr w:type="spellStart"/>
      <w:r w:rsidRPr="00305D26">
        <w:rPr>
          <w:i/>
        </w:rPr>
        <w:t>раздвиговым</w:t>
      </w:r>
      <w:proofErr w:type="spellEnd"/>
      <w:r w:rsidRPr="00305D26">
        <w:rPr>
          <w:i/>
        </w:rPr>
        <w:t xml:space="preserve"> полем напряжений.</w:t>
      </w:r>
      <w:r w:rsidRPr="00305D26">
        <w:t xml:space="preserve"> Такая область располагает</w:t>
      </w:r>
      <w:r w:rsidRPr="00305D26">
        <w:softHyphen/>
        <w:t xml:space="preserve">ся в центральной части БРЗ. Для нее характерно </w:t>
      </w:r>
      <w:proofErr w:type="spellStart"/>
      <w:r w:rsidRPr="00305D26">
        <w:t>субгоризонтальное</w:t>
      </w:r>
      <w:proofErr w:type="spellEnd"/>
      <w:r w:rsidRPr="00305D26">
        <w:t xml:space="preserve"> положение макси</w:t>
      </w:r>
      <w:r w:rsidRPr="00305D26">
        <w:softHyphen/>
        <w:t xml:space="preserve">мальных растягивающих напряжений </w:t>
      </w:r>
      <w:r w:rsidRPr="00305D26">
        <w:sym w:font="Symbol" w:char="F073"/>
      </w:r>
      <w:r w:rsidRPr="00305D26">
        <w:rPr>
          <w:vertAlign w:val="subscript"/>
        </w:rPr>
        <w:t>1</w:t>
      </w:r>
      <w:r w:rsidRPr="00305D26">
        <w:t xml:space="preserve">, ориентированных по азимуту СЗ-ЮВ, и промежуточных напряжений </w:t>
      </w:r>
      <w:r w:rsidRPr="00305D26">
        <w:sym w:font="Symbol" w:char="F073"/>
      </w:r>
      <w:r w:rsidRPr="00305D26">
        <w:rPr>
          <w:vertAlign w:val="subscript"/>
        </w:rPr>
        <w:t>2</w:t>
      </w:r>
      <w:r w:rsidRPr="00305D26">
        <w:t xml:space="preserve">. ориентированных по азимуту СВ—ЮЗ, и </w:t>
      </w:r>
      <w:proofErr w:type="spellStart"/>
      <w:r w:rsidRPr="00305D26">
        <w:t>субвер</w:t>
      </w:r>
      <w:r w:rsidRPr="00305D26">
        <w:softHyphen/>
        <w:t>тикальное</w:t>
      </w:r>
      <w:proofErr w:type="spellEnd"/>
      <w:r w:rsidRPr="00305D26">
        <w:t xml:space="preserve"> положение максимальных сжимающих напряжений </w:t>
      </w:r>
      <w:r w:rsidRPr="00305D26">
        <w:sym w:font="Symbol" w:char="F073"/>
      </w:r>
      <w:r w:rsidRPr="00305D26">
        <w:rPr>
          <w:vertAlign w:val="subscript"/>
        </w:rPr>
        <w:t>3</w:t>
      </w:r>
      <w:r w:rsidRPr="00305D26">
        <w:t>. Здесь горизон</w:t>
      </w:r>
      <w:r w:rsidRPr="00305D26">
        <w:softHyphen/>
        <w:t xml:space="preserve">тальное растяжение коры </w:t>
      </w:r>
      <w:proofErr w:type="spellStart"/>
      <w:r w:rsidRPr="00305D26">
        <w:t>раздвигового</w:t>
      </w:r>
      <w:proofErr w:type="spellEnd"/>
      <w:r w:rsidRPr="00305D26">
        <w:t xml:space="preserve"> типа сопровождается преимущественно нисходящими вертикальными движениями, превалирующими над восходящими. </w:t>
      </w:r>
      <w:proofErr w:type="gramStart"/>
      <w:r w:rsidRPr="00305D26">
        <w:t xml:space="preserve">В области преобладают сбросы и </w:t>
      </w:r>
      <w:proofErr w:type="spellStart"/>
      <w:r w:rsidRPr="00305D26">
        <w:t>сбросо</w:t>
      </w:r>
      <w:proofErr w:type="spellEnd"/>
      <w:r w:rsidRPr="00305D26">
        <w:t xml:space="preserve">-сдвиги и, главное, располагаются наиболее глубокие впадины БРЗ — озеро Байкал с его Южно- и Северо-Байкальской котловинами, а также </w:t>
      </w:r>
      <w:proofErr w:type="spellStart"/>
      <w:r w:rsidRPr="00305D26">
        <w:t>Баргузинская</w:t>
      </w:r>
      <w:proofErr w:type="spellEnd"/>
      <w:r w:rsidRPr="00305D26">
        <w:t xml:space="preserve"> впадина.</w:t>
      </w:r>
      <w:proofErr w:type="gramEnd"/>
    </w:p>
    <w:p w:rsidR="00287F00" w:rsidRPr="00305D26" w:rsidRDefault="00287F00" w:rsidP="00287F00">
      <w:pPr>
        <w:ind w:firstLine="709"/>
        <w:jc w:val="both"/>
      </w:pPr>
      <w:r w:rsidRPr="00305D26">
        <w:t xml:space="preserve">2. </w:t>
      </w:r>
      <w:r w:rsidRPr="00305D26">
        <w:rPr>
          <w:i/>
        </w:rPr>
        <w:t xml:space="preserve">Области преобладания горизонтальных движений коры со сдвиговым полем напряжений </w:t>
      </w:r>
      <w:r w:rsidRPr="00305D26">
        <w:t xml:space="preserve">располагаются на флангах БРЗ. Они характеризуются </w:t>
      </w:r>
      <w:proofErr w:type="spellStart"/>
      <w:r w:rsidRPr="00305D26">
        <w:t>субгоризонтальным</w:t>
      </w:r>
      <w:proofErr w:type="spellEnd"/>
      <w:r w:rsidRPr="00305D26">
        <w:t xml:space="preserve"> положением максимальных растя</w:t>
      </w:r>
      <w:r w:rsidRPr="00305D26">
        <w:softHyphen/>
        <w:t xml:space="preserve">гивающих напряжений </w:t>
      </w:r>
      <w:r w:rsidRPr="00305D26">
        <w:sym w:font="Symbol" w:char="F073"/>
      </w:r>
      <w:r w:rsidRPr="00305D26">
        <w:rPr>
          <w:vertAlign w:val="subscript"/>
        </w:rPr>
        <w:t>1</w:t>
      </w:r>
      <w:r w:rsidRPr="00305D26">
        <w:t xml:space="preserve">, ориентированных по азимуту СЗ-ЮВ, и максимальных сжимающих напряжений </w:t>
      </w:r>
      <w:r w:rsidRPr="00305D26">
        <w:sym w:font="Symbol" w:char="F073"/>
      </w:r>
      <w:r w:rsidRPr="00305D26">
        <w:rPr>
          <w:vertAlign w:val="subscript"/>
        </w:rPr>
        <w:t>3</w:t>
      </w:r>
      <w:r w:rsidRPr="00305D26">
        <w:t xml:space="preserve">, ориентированных по азимуту СВ- ЮЗ, при </w:t>
      </w:r>
      <w:proofErr w:type="spellStart"/>
      <w:r w:rsidRPr="00305D26">
        <w:t>субверти</w:t>
      </w:r>
      <w:r w:rsidRPr="00305D26">
        <w:softHyphen/>
        <w:t>кальной</w:t>
      </w:r>
      <w:proofErr w:type="spellEnd"/>
      <w:r w:rsidRPr="00305D26">
        <w:t xml:space="preserve"> ориентировке промежуточных напряжений </w:t>
      </w:r>
      <w:r w:rsidRPr="00305D26">
        <w:sym w:font="Symbol" w:char="F073"/>
      </w:r>
      <w:r w:rsidRPr="00305D26">
        <w:rPr>
          <w:vertAlign w:val="subscript"/>
        </w:rPr>
        <w:t>2</w:t>
      </w:r>
      <w:r w:rsidRPr="00305D26">
        <w:t>. Положение этих областей контролируется трансформными разломами (14), комплексом геологических структур, типичных для сдвиговых полей левостороннего знака (12). Горизон</w:t>
      </w:r>
      <w:r w:rsidRPr="00305D26">
        <w:softHyphen/>
        <w:t>тальные движения создают на флангах БРЗ левосторонние сдвиговые поля напря</w:t>
      </w:r>
      <w:r w:rsidRPr="00305D26">
        <w:softHyphen/>
        <w:t>жений. На северо-восточном фланге они сопровождаются восходящими движениями земной коры, превалирующими над нисходящими. На юго-западном фланге ампли</w:t>
      </w:r>
      <w:r w:rsidRPr="00305D26">
        <w:softHyphen/>
        <w:t>туды восходящих и нисходящих движений примерно равны.</w:t>
      </w:r>
    </w:p>
    <w:p w:rsidR="00287F00" w:rsidRPr="00305D26" w:rsidRDefault="00287F00" w:rsidP="00287F00">
      <w:pPr>
        <w:ind w:firstLine="709"/>
        <w:jc w:val="both"/>
      </w:pPr>
      <w:r w:rsidRPr="00305D26">
        <w:t xml:space="preserve">3. </w:t>
      </w:r>
      <w:r w:rsidRPr="00305D26">
        <w:rPr>
          <w:i/>
        </w:rPr>
        <w:t>Области преобладания вертикальных движений ко</w:t>
      </w:r>
      <w:r w:rsidRPr="00305D26">
        <w:rPr>
          <w:i/>
        </w:rPr>
        <w:softHyphen/>
        <w:t xml:space="preserve">ры со сбросовым полем напряжений </w:t>
      </w:r>
      <w:r w:rsidRPr="00305D26">
        <w:t xml:space="preserve">располагаются в краевых латеральных частях БРЗ. За границами БРЗ этот тип областей для кайнозойского этапа развития превалирует. Для них характерно </w:t>
      </w:r>
      <w:proofErr w:type="spellStart"/>
      <w:r w:rsidRPr="00305D26">
        <w:t>субвертикальное</w:t>
      </w:r>
      <w:proofErr w:type="spellEnd"/>
      <w:r w:rsidRPr="00305D26">
        <w:t xml:space="preserve"> положение мак</w:t>
      </w:r>
      <w:r w:rsidRPr="00305D26">
        <w:softHyphen/>
        <w:t xml:space="preserve">симальных сжимающих напряжений </w:t>
      </w:r>
      <w:r w:rsidRPr="00305D26">
        <w:sym w:font="Symbol" w:char="F073"/>
      </w:r>
      <w:r w:rsidRPr="00305D26">
        <w:rPr>
          <w:vertAlign w:val="subscript"/>
        </w:rPr>
        <w:t xml:space="preserve">3 </w:t>
      </w:r>
      <w:r w:rsidRPr="00305D26">
        <w:t xml:space="preserve">при </w:t>
      </w:r>
      <w:proofErr w:type="spellStart"/>
      <w:r w:rsidRPr="00305D26">
        <w:t>субгоризонтальном</w:t>
      </w:r>
      <w:proofErr w:type="spellEnd"/>
      <w:r w:rsidRPr="00305D26">
        <w:t xml:space="preserve"> положении и отно</w:t>
      </w:r>
      <w:r w:rsidRPr="00305D26">
        <w:softHyphen/>
        <w:t>сительном равенстве двух других (</w:t>
      </w:r>
      <w:r w:rsidRPr="00305D26">
        <w:sym w:font="Symbol" w:char="F073"/>
      </w:r>
      <w:r w:rsidRPr="00305D26">
        <w:rPr>
          <w:vertAlign w:val="subscript"/>
        </w:rPr>
        <w:t>1</w:t>
      </w:r>
      <w:r w:rsidRPr="00305D26">
        <w:t xml:space="preserve"> и </w:t>
      </w:r>
      <w:r w:rsidRPr="00305D26">
        <w:sym w:font="Symbol" w:char="F073"/>
      </w:r>
      <w:r w:rsidRPr="00305D26">
        <w:rPr>
          <w:vertAlign w:val="subscript"/>
        </w:rPr>
        <w:t>2</w:t>
      </w:r>
      <w:r w:rsidRPr="00305D26">
        <w:t>).</w:t>
      </w:r>
    </w:p>
    <w:p w:rsidR="00287F00" w:rsidRPr="00305D26" w:rsidRDefault="00287F00" w:rsidP="00287F00">
      <w:pPr>
        <w:ind w:firstLine="709"/>
        <w:jc w:val="both"/>
      </w:pPr>
      <w:r w:rsidRPr="00305D26">
        <w:t xml:space="preserve">   Структурно-динамический принцип, положенный в основу составления карты неотектоники БРЗ, позволил получить более глубокое генетическое объяснение ряда геологических процессов. Совершенно отчетливо видно, что районы повышен</w:t>
      </w:r>
      <w:r w:rsidRPr="00305D26">
        <w:softHyphen/>
        <w:t>ной магматической проницаемости коры, где распространены обширные поля кай</w:t>
      </w:r>
      <w:r w:rsidRPr="00305D26">
        <w:softHyphen/>
        <w:t>нозойских базальтов, тяготеют к границам областей со сдвиговым полем напря</w:t>
      </w:r>
      <w:r w:rsidRPr="00305D26">
        <w:softHyphen/>
        <w:t>жений. Эпицентры землетрясений с М=7—8 располагаются на флангах БРЗ, контролируемых трансформными разломами, в областях, где превалируют поля напря</w:t>
      </w:r>
      <w:r w:rsidRPr="00305D26">
        <w:softHyphen/>
        <w:t>жений сдвигового типа.</w:t>
      </w:r>
    </w:p>
    <w:p w:rsidR="00287F00" w:rsidRPr="00305D26" w:rsidRDefault="00287F00" w:rsidP="00287F00">
      <w:pPr>
        <w:ind w:firstLine="709"/>
        <w:jc w:val="both"/>
      </w:pPr>
      <w:r w:rsidRPr="00305D26">
        <w:t xml:space="preserve">   Комплексный анализ движений и полей напряжений и проведенное на их основе неотектоническое районирование более рельефно подчеркнули причины фор</w:t>
      </w:r>
      <w:r w:rsidRPr="00305D26">
        <w:softHyphen/>
        <w:t>мирования разных морфогенетических групп разломов в отдельных звеньях БРЗ, отличия в строении впадин, а также взаимосвязи между динамикой движений зем</w:t>
      </w:r>
      <w:r w:rsidRPr="00305D26">
        <w:softHyphen/>
        <w:t>ной коры в кайнозое, эволюцией структур на ее поверхности, сейсмичностью и не</w:t>
      </w:r>
      <w:r w:rsidRPr="00305D26">
        <w:softHyphen/>
        <w:t>которыми другими геологическими процессами.</w:t>
      </w:r>
    </w:p>
    <w:p w:rsidR="00287F00" w:rsidRPr="00305D26" w:rsidRDefault="00287F00" w:rsidP="00287F00">
      <w:pPr>
        <w:ind w:firstLine="709"/>
        <w:jc w:val="both"/>
      </w:pPr>
      <w:r w:rsidRPr="00305D26">
        <w:t xml:space="preserve">   В целом же вся рассматриваемая территория БРЗ (рис. 1) представляет со</w:t>
      </w:r>
      <w:r w:rsidRPr="00305D26">
        <w:softHyphen/>
        <w:t xml:space="preserve">бой в кайнозое сложную </w:t>
      </w:r>
      <w:proofErr w:type="spellStart"/>
      <w:r w:rsidRPr="00305D26">
        <w:t>межплитный</w:t>
      </w:r>
      <w:proofErr w:type="spellEnd"/>
      <w:r w:rsidRPr="00305D26">
        <w:t xml:space="preserve"> границу, состоящую из собственно раздви</w:t>
      </w:r>
      <w:r w:rsidRPr="00305D26">
        <w:softHyphen/>
        <w:t>гающихся (центральная часть БРЗ) и скользящих (фланги БРЗ) по отношению друг к другу плит. Выявленные структурные детали отражают специфику внут</w:t>
      </w:r>
      <w:r w:rsidRPr="00305D26">
        <w:softHyphen/>
        <w:t>реннего развития зон кайнозойской тектонической активизации.</w:t>
      </w:r>
    </w:p>
    <w:p w:rsidR="00287F00" w:rsidRPr="00305D26" w:rsidRDefault="00287F00" w:rsidP="00287F00">
      <w:pPr>
        <w:ind w:firstLine="709"/>
        <w:jc w:val="both"/>
      </w:pPr>
      <w:r w:rsidRPr="00305D26">
        <w:t xml:space="preserve">   Составленная неотектоническая карта БРЗ — пример новой методики нео</w:t>
      </w:r>
      <w:r w:rsidRPr="00305D26">
        <w:softHyphen/>
        <w:t>тектонического картирования, подчеркивающей сложные движения коры в раз</w:t>
      </w:r>
      <w:r w:rsidRPr="00305D26">
        <w:softHyphen/>
        <w:t>личных неотектонических структурах.</w:t>
      </w:r>
    </w:p>
    <w:p w:rsidR="00287F00" w:rsidRPr="00305D26" w:rsidRDefault="00287F00" w:rsidP="00287F00">
      <w:pPr>
        <w:ind w:firstLine="709"/>
        <w:jc w:val="center"/>
        <w:rPr>
          <w:b/>
        </w:rPr>
      </w:pPr>
    </w:p>
    <w:p w:rsidR="00287F00" w:rsidRPr="00305D26" w:rsidRDefault="00287F00" w:rsidP="00287F00">
      <w:pPr>
        <w:ind w:firstLine="709"/>
        <w:jc w:val="center"/>
        <w:rPr>
          <w:b/>
        </w:rPr>
      </w:pPr>
    </w:p>
    <w:p w:rsidR="00287F00" w:rsidRPr="00305D26" w:rsidRDefault="00287F00" w:rsidP="00287F00">
      <w:pPr>
        <w:ind w:firstLine="709"/>
        <w:jc w:val="center"/>
        <w:rPr>
          <w:b/>
        </w:rPr>
      </w:pPr>
    </w:p>
    <w:p w:rsidR="00287F00" w:rsidRDefault="00287F00" w:rsidP="00287F00">
      <w:pPr>
        <w:ind w:firstLine="709"/>
        <w:jc w:val="center"/>
        <w:rPr>
          <w:b/>
        </w:rPr>
      </w:pPr>
      <w:r w:rsidRPr="00305D26">
        <w:rPr>
          <w:b/>
        </w:rPr>
        <w:lastRenderedPageBreak/>
        <w:t>ЛИТЕРАТУРА</w:t>
      </w:r>
      <w:r>
        <w:rPr>
          <w:b/>
        </w:rPr>
        <w:t xml:space="preserve"> </w:t>
      </w:r>
    </w:p>
    <w:p w:rsidR="00287F00" w:rsidRDefault="00287F00" w:rsidP="00287F00">
      <w:pPr>
        <w:ind w:firstLine="709"/>
        <w:jc w:val="both"/>
      </w:pPr>
      <w:r w:rsidRPr="00C067FB">
        <w:t>1.</w:t>
      </w:r>
      <w:r>
        <w:rPr>
          <w:b/>
        </w:rPr>
        <w:t xml:space="preserve"> </w:t>
      </w:r>
      <w:r w:rsidRPr="00305D26">
        <w:t>Разломы и горизонтальные движения горных сооружений СССР, М., "Наука", 1977.</w:t>
      </w:r>
      <w:r>
        <w:t xml:space="preserve"> </w:t>
      </w:r>
    </w:p>
    <w:p w:rsidR="00287F00" w:rsidRDefault="00287F00" w:rsidP="00287F00">
      <w:pPr>
        <w:ind w:firstLine="709"/>
        <w:jc w:val="both"/>
      </w:pPr>
      <w:r>
        <w:t xml:space="preserve">2. </w:t>
      </w:r>
      <w:r w:rsidRPr="00305D26">
        <w:t xml:space="preserve">Разломы и горизонтальные движения платформенных областей СССР, М., "Наука", 1977. </w:t>
      </w:r>
    </w:p>
    <w:p w:rsidR="00287F00" w:rsidRDefault="00287F00" w:rsidP="00287F00">
      <w:pPr>
        <w:ind w:firstLine="709"/>
        <w:jc w:val="both"/>
        <w:rPr>
          <w:b/>
        </w:rPr>
      </w:pPr>
      <w:r>
        <w:t xml:space="preserve">3. </w:t>
      </w:r>
      <w:r w:rsidRPr="00305D26">
        <w:t xml:space="preserve">Разломы земной коры, М., "Наука", 1977. </w:t>
      </w:r>
    </w:p>
    <w:p w:rsidR="00287F00" w:rsidRDefault="00287F00" w:rsidP="00287F00">
      <w:pPr>
        <w:ind w:firstLine="709"/>
        <w:jc w:val="both"/>
      </w:pPr>
      <w:r w:rsidRPr="00C067FB">
        <w:t xml:space="preserve">4. В.Г. </w:t>
      </w:r>
      <w:proofErr w:type="spellStart"/>
      <w:r w:rsidRPr="00C067FB">
        <w:t>Казьмин</w:t>
      </w:r>
      <w:proofErr w:type="spellEnd"/>
      <w:r w:rsidRPr="00C067FB">
        <w:t xml:space="preserve">, </w:t>
      </w:r>
      <w:proofErr w:type="spellStart"/>
      <w:r w:rsidRPr="00C067FB">
        <w:t>Бюлл</w:t>
      </w:r>
      <w:proofErr w:type="spellEnd"/>
      <w:r w:rsidRPr="00C067FB">
        <w:t xml:space="preserve">. МОИП, отд. геол., № 6 (1978). </w:t>
      </w:r>
    </w:p>
    <w:p w:rsidR="00287F00" w:rsidRDefault="00287F00" w:rsidP="00287F00">
      <w:pPr>
        <w:ind w:firstLine="709"/>
        <w:jc w:val="both"/>
      </w:pPr>
      <w:r>
        <w:t xml:space="preserve">5. </w:t>
      </w:r>
      <w:r w:rsidRPr="00305D26">
        <w:t xml:space="preserve">С.И. </w:t>
      </w:r>
      <w:proofErr w:type="spellStart"/>
      <w:r w:rsidRPr="00305D26">
        <w:t>Шерман</w:t>
      </w:r>
      <w:proofErr w:type="spellEnd"/>
      <w:r w:rsidRPr="00305D26">
        <w:t xml:space="preserve">, Физические закономерности формирования разломов земной коры, Новосибирск, "Наука", 1977. </w:t>
      </w:r>
    </w:p>
    <w:p w:rsidR="00287F00" w:rsidRDefault="00287F00" w:rsidP="00287F00">
      <w:pPr>
        <w:ind w:firstLine="709"/>
        <w:jc w:val="both"/>
      </w:pPr>
      <w:r>
        <w:t xml:space="preserve">6. </w:t>
      </w:r>
      <w:r w:rsidRPr="00305D26">
        <w:t xml:space="preserve">А.И. Суворов, Геотектоника, № 2 (1978). </w:t>
      </w:r>
    </w:p>
    <w:p w:rsidR="00287F00" w:rsidRDefault="00287F00" w:rsidP="00287F00">
      <w:pPr>
        <w:ind w:firstLine="709"/>
        <w:jc w:val="both"/>
      </w:pPr>
      <w:r>
        <w:t xml:space="preserve">7. </w:t>
      </w:r>
      <w:r w:rsidRPr="00305D26">
        <w:t xml:space="preserve">А.В. Орлова, Блоковые структуры и рельеф, М., "Недра", 1975. </w:t>
      </w:r>
    </w:p>
    <w:p w:rsidR="00287F00" w:rsidRDefault="00287F00" w:rsidP="00287F00">
      <w:pPr>
        <w:ind w:firstLine="709"/>
        <w:jc w:val="both"/>
      </w:pPr>
      <w:r>
        <w:t xml:space="preserve">8. </w:t>
      </w:r>
      <w:r w:rsidRPr="00305D26">
        <w:t xml:space="preserve">Е.Е. </w:t>
      </w:r>
      <w:proofErr w:type="spellStart"/>
      <w:r w:rsidRPr="00305D26">
        <w:t>Милановский</w:t>
      </w:r>
      <w:proofErr w:type="spellEnd"/>
      <w:r w:rsidRPr="00305D26">
        <w:t xml:space="preserve">, </w:t>
      </w:r>
      <w:proofErr w:type="spellStart"/>
      <w:r w:rsidRPr="00305D26">
        <w:t>Рифтовые</w:t>
      </w:r>
      <w:proofErr w:type="spellEnd"/>
      <w:r w:rsidRPr="00305D26">
        <w:t xml:space="preserve"> зоны кон</w:t>
      </w:r>
      <w:r w:rsidRPr="00305D26">
        <w:softHyphen/>
        <w:t xml:space="preserve">тинентов, М., "Недра", 1976. </w:t>
      </w:r>
    </w:p>
    <w:p w:rsidR="00287F00" w:rsidRDefault="00287F00" w:rsidP="00287F00">
      <w:pPr>
        <w:ind w:firstLine="709"/>
        <w:jc w:val="both"/>
      </w:pPr>
      <w:r>
        <w:t xml:space="preserve">9. </w:t>
      </w:r>
      <w:r w:rsidRPr="00305D26">
        <w:t xml:space="preserve">А.Ф. Грачев, </w:t>
      </w:r>
      <w:proofErr w:type="spellStart"/>
      <w:r w:rsidRPr="00305D26">
        <w:t>Рифтовые</w:t>
      </w:r>
      <w:proofErr w:type="spellEnd"/>
      <w:r w:rsidRPr="00305D26">
        <w:t xml:space="preserve"> зоны Земли, Л., "Недра", 1977. </w:t>
      </w:r>
    </w:p>
    <w:p w:rsidR="00287F00" w:rsidRDefault="00287F00" w:rsidP="00287F00">
      <w:pPr>
        <w:ind w:firstLine="709"/>
        <w:jc w:val="both"/>
      </w:pPr>
      <w:r>
        <w:t xml:space="preserve">10. </w:t>
      </w:r>
      <w:r w:rsidRPr="00305D26">
        <w:t xml:space="preserve">Л.К. </w:t>
      </w:r>
      <w:proofErr w:type="spellStart"/>
      <w:r w:rsidRPr="00305D26">
        <w:t>Зятькова</w:t>
      </w:r>
      <w:proofErr w:type="spellEnd"/>
      <w:r w:rsidRPr="00305D26">
        <w:t xml:space="preserve">, Новейшая тектоника Западного </w:t>
      </w:r>
      <w:proofErr w:type="spellStart"/>
      <w:r w:rsidRPr="00305D26">
        <w:t>Саяна</w:t>
      </w:r>
      <w:proofErr w:type="spellEnd"/>
      <w:r w:rsidRPr="00305D26">
        <w:t xml:space="preserve">, Новосибирск, "Наука", 1973. </w:t>
      </w:r>
    </w:p>
    <w:p w:rsidR="00287F00" w:rsidRDefault="00287F00" w:rsidP="00287F00">
      <w:pPr>
        <w:ind w:firstLine="709"/>
        <w:jc w:val="both"/>
      </w:pPr>
      <w:r>
        <w:t xml:space="preserve">11. </w:t>
      </w:r>
      <w:r w:rsidRPr="00305D26">
        <w:t xml:space="preserve">Н.И. Николаев, Неотектоника и ее выражение в структуре и рельефе территории СССР, М., </w:t>
      </w:r>
      <w:proofErr w:type="spellStart"/>
      <w:r w:rsidRPr="00305D26">
        <w:t>Госгсолтехиздат</w:t>
      </w:r>
      <w:proofErr w:type="spellEnd"/>
      <w:r w:rsidRPr="00305D26">
        <w:t>, 1962.</w:t>
      </w:r>
      <w:r>
        <w:t xml:space="preserve"> </w:t>
      </w:r>
    </w:p>
    <w:p w:rsidR="00287F00" w:rsidRDefault="00287F00" w:rsidP="00287F00">
      <w:pPr>
        <w:ind w:firstLine="709"/>
        <w:jc w:val="both"/>
      </w:pPr>
      <w:r>
        <w:t xml:space="preserve">12. </w:t>
      </w:r>
      <w:r w:rsidRPr="00305D26">
        <w:t xml:space="preserve">Г.В. Рязанов, ДАН, т. 243, № 1, 183 (1978). </w:t>
      </w:r>
    </w:p>
    <w:p w:rsidR="00287F00" w:rsidRDefault="00287F00" w:rsidP="00287F00">
      <w:pPr>
        <w:ind w:firstLine="709"/>
        <w:jc w:val="both"/>
      </w:pPr>
      <w:r>
        <w:t xml:space="preserve">13. </w:t>
      </w:r>
      <w:r w:rsidRPr="00305D26">
        <w:t xml:space="preserve">Л.А. </w:t>
      </w:r>
      <w:proofErr w:type="spellStart"/>
      <w:r w:rsidRPr="00305D26">
        <w:t>Мишарина</w:t>
      </w:r>
      <w:proofErr w:type="spellEnd"/>
      <w:r w:rsidRPr="00305D26">
        <w:t xml:space="preserve">, Н.В. Солоненко, В кн.: Роль </w:t>
      </w:r>
      <w:proofErr w:type="spellStart"/>
      <w:r w:rsidRPr="00305D26">
        <w:t>рифтогенеза</w:t>
      </w:r>
      <w:proofErr w:type="spellEnd"/>
      <w:r w:rsidRPr="00305D26">
        <w:t xml:space="preserve"> в геологической истории Земли, Новосибирск, "Наука", 1977.</w:t>
      </w:r>
      <w:r>
        <w:t xml:space="preserve"> </w:t>
      </w:r>
    </w:p>
    <w:p w:rsidR="00287F00" w:rsidRPr="00305D26" w:rsidRDefault="00287F00" w:rsidP="00287F00">
      <w:pPr>
        <w:ind w:firstLine="709"/>
        <w:jc w:val="both"/>
      </w:pPr>
      <w:r>
        <w:t xml:space="preserve">14. </w:t>
      </w:r>
      <w:r w:rsidRPr="00305D26">
        <w:t xml:space="preserve">С.И. </w:t>
      </w:r>
      <w:proofErr w:type="spellStart"/>
      <w:r w:rsidRPr="00305D26">
        <w:t>Шерман</w:t>
      </w:r>
      <w:proofErr w:type="spellEnd"/>
      <w:r w:rsidRPr="00305D26">
        <w:t xml:space="preserve">, К.Г. Леви, В кн.: Тектоника и сейсмичность континентальных </w:t>
      </w:r>
      <w:proofErr w:type="spellStart"/>
      <w:r w:rsidRPr="00305D26">
        <w:t>рифтовых</w:t>
      </w:r>
      <w:proofErr w:type="spellEnd"/>
      <w:r w:rsidRPr="00305D26">
        <w:t xml:space="preserve"> зон. М., "Наука", 1978.</w:t>
      </w:r>
    </w:p>
    <w:p w:rsidR="001D1CD2" w:rsidRPr="00287F00" w:rsidRDefault="001D1CD2" w:rsidP="00287F00"/>
    <w:sectPr w:rsidR="001D1CD2" w:rsidRPr="00287F00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EF" w:rsidRDefault="00A259EF">
      <w:r>
        <w:separator/>
      </w:r>
    </w:p>
  </w:endnote>
  <w:endnote w:type="continuationSeparator" w:id="0">
    <w:p w:rsidR="00A259EF" w:rsidRDefault="00A2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EF" w:rsidRDefault="00A259EF">
      <w:r>
        <w:separator/>
      </w:r>
    </w:p>
  </w:footnote>
  <w:footnote w:type="continuationSeparator" w:id="0">
    <w:p w:rsidR="00A259EF" w:rsidRDefault="00A259EF">
      <w:r>
        <w:continuationSeparator/>
      </w:r>
    </w:p>
  </w:footnote>
  <w:footnote w:id="1">
    <w:p w:rsidR="00287F00" w:rsidRDefault="00287F00" w:rsidP="00287F00">
      <w:pPr>
        <w:pStyle w:val="a3"/>
      </w:pPr>
      <w:r>
        <w:rPr>
          <w:rStyle w:val="a5"/>
        </w:rPr>
        <w:t>*</w:t>
      </w:r>
      <w:r>
        <w:t xml:space="preserve"> Соавтор К.Г. Леви.</w:t>
      </w:r>
      <w:r w:rsidRPr="00377BE0">
        <w:t xml:space="preserve"> Доклады АН СССР. – 1979. – Т. 249, № 2. – С. 429–432.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7D"/>
    <w:rsid w:val="000146B6"/>
    <w:rsid w:val="00026982"/>
    <w:rsid w:val="000511E6"/>
    <w:rsid w:val="00073202"/>
    <w:rsid w:val="0007656C"/>
    <w:rsid w:val="00076B1C"/>
    <w:rsid w:val="000776CE"/>
    <w:rsid w:val="0008673B"/>
    <w:rsid w:val="000B06CA"/>
    <w:rsid w:val="000C3066"/>
    <w:rsid w:val="000C3C38"/>
    <w:rsid w:val="00102199"/>
    <w:rsid w:val="00103F87"/>
    <w:rsid w:val="00110F6A"/>
    <w:rsid w:val="00127C2D"/>
    <w:rsid w:val="00135F16"/>
    <w:rsid w:val="001428E3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D1CD2"/>
    <w:rsid w:val="002059A1"/>
    <w:rsid w:val="00212EAC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87F00"/>
    <w:rsid w:val="00295087"/>
    <w:rsid w:val="002A36AB"/>
    <w:rsid w:val="002B3CF3"/>
    <w:rsid w:val="002C29C7"/>
    <w:rsid w:val="002D061C"/>
    <w:rsid w:val="002D4585"/>
    <w:rsid w:val="002D49A7"/>
    <w:rsid w:val="002D5A79"/>
    <w:rsid w:val="002F45B8"/>
    <w:rsid w:val="00377BE0"/>
    <w:rsid w:val="003B79F0"/>
    <w:rsid w:val="003C4428"/>
    <w:rsid w:val="003C4CE2"/>
    <w:rsid w:val="004079D4"/>
    <w:rsid w:val="00412AD5"/>
    <w:rsid w:val="004152EE"/>
    <w:rsid w:val="00446A01"/>
    <w:rsid w:val="00456D06"/>
    <w:rsid w:val="00460F6E"/>
    <w:rsid w:val="00465EB7"/>
    <w:rsid w:val="00490AFE"/>
    <w:rsid w:val="004A2D06"/>
    <w:rsid w:val="004B3D36"/>
    <w:rsid w:val="004D2FF8"/>
    <w:rsid w:val="004E5143"/>
    <w:rsid w:val="004F4EDF"/>
    <w:rsid w:val="004F6EC0"/>
    <w:rsid w:val="00511959"/>
    <w:rsid w:val="00516661"/>
    <w:rsid w:val="00532185"/>
    <w:rsid w:val="005466A2"/>
    <w:rsid w:val="00595CD0"/>
    <w:rsid w:val="00596797"/>
    <w:rsid w:val="005C1AA1"/>
    <w:rsid w:val="005C4C02"/>
    <w:rsid w:val="005E6C69"/>
    <w:rsid w:val="00612855"/>
    <w:rsid w:val="00627ACA"/>
    <w:rsid w:val="00636452"/>
    <w:rsid w:val="0068283B"/>
    <w:rsid w:val="006C22AC"/>
    <w:rsid w:val="006D1111"/>
    <w:rsid w:val="006D3500"/>
    <w:rsid w:val="006E06F7"/>
    <w:rsid w:val="006F1EB4"/>
    <w:rsid w:val="006F3412"/>
    <w:rsid w:val="007040BB"/>
    <w:rsid w:val="007263CA"/>
    <w:rsid w:val="00727DAB"/>
    <w:rsid w:val="007300E4"/>
    <w:rsid w:val="007301BF"/>
    <w:rsid w:val="007363D7"/>
    <w:rsid w:val="00755505"/>
    <w:rsid w:val="00765772"/>
    <w:rsid w:val="0077362B"/>
    <w:rsid w:val="00773736"/>
    <w:rsid w:val="00807B98"/>
    <w:rsid w:val="00821E4A"/>
    <w:rsid w:val="008341AC"/>
    <w:rsid w:val="00837EAE"/>
    <w:rsid w:val="00843804"/>
    <w:rsid w:val="00846B64"/>
    <w:rsid w:val="00870C9C"/>
    <w:rsid w:val="008A41C8"/>
    <w:rsid w:val="008B7C22"/>
    <w:rsid w:val="008C5118"/>
    <w:rsid w:val="008D06D9"/>
    <w:rsid w:val="008F155E"/>
    <w:rsid w:val="00915FD2"/>
    <w:rsid w:val="00927C41"/>
    <w:rsid w:val="00933E15"/>
    <w:rsid w:val="00944882"/>
    <w:rsid w:val="00944AF7"/>
    <w:rsid w:val="00953579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259EF"/>
    <w:rsid w:val="00A77B23"/>
    <w:rsid w:val="00AA0421"/>
    <w:rsid w:val="00AA3F63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14BD3"/>
    <w:rsid w:val="00B23EB8"/>
    <w:rsid w:val="00B315D2"/>
    <w:rsid w:val="00B45FDA"/>
    <w:rsid w:val="00B473D0"/>
    <w:rsid w:val="00B53970"/>
    <w:rsid w:val="00B557AD"/>
    <w:rsid w:val="00B60508"/>
    <w:rsid w:val="00B729BB"/>
    <w:rsid w:val="00B92B03"/>
    <w:rsid w:val="00BE34BA"/>
    <w:rsid w:val="00C03493"/>
    <w:rsid w:val="00C04210"/>
    <w:rsid w:val="00C06B36"/>
    <w:rsid w:val="00C22B2A"/>
    <w:rsid w:val="00C341CA"/>
    <w:rsid w:val="00C4027C"/>
    <w:rsid w:val="00C734F6"/>
    <w:rsid w:val="00C84659"/>
    <w:rsid w:val="00C90FB9"/>
    <w:rsid w:val="00CA280A"/>
    <w:rsid w:val="00CA47C0"/>
    <w:rsid w:val="00CB1701"/>
    <w:rsid w:val="00CD45EC"/>
    <w:rsid w:val="00CD63B0"/>
    <w:rsid w:val="00CE661E"/>
    <w:rsid w:val="00CE734B"/>
    <w:rsid w:val="00CF4BC2"/>
    <w:rsid w:val="00D34308"/>
    <w:rsid w:val="00D54D77"/>
    <w:rsid w:val="00D737F6"/>
    <w:rsid w:val="00D76BFD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B1C53"/>
    <w:rsid w:val="00ED2C79"/>
    <w:rsid w:val="00ED64E6"/>
    <w:rsid w:val="00EE5ED3"/>
    <w:rsid w:val="00F24394"/>
    <w:rsid w:val="00F31472"/>
    <w:rsid w:val="00F4353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287F00"/>
  </w:style>
  <w:style w:type="paragraph" w:styleId="af0">
    <w:name w:val="Balloon Text"/>
    <w:basedOn w:val="a"/>
    <w:link w:val="af1"/>
    <w:rsid w:val="000146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1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287F00"/>
  </w:style>
  <w:style w:type="paragraph" w:styleId="af0">
    <w:name w:val="Balloon Text"/>
    <w:basedOn w:val="a"/>
    <w:link w:val="af1"/>
    <w:rsid w:val="000146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1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4348-AE01-4B2E-BDBF-14CD7B48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имя</cp:lastModifiedBy>
  <cp:revision>34</cp:revision>
  <dcterms:created xsi:type="dcterms:W3CDTF">2017-01-13T05:21:00Z</dcterms:created>
  <dcterms:modified xsi:type="dcterms:W3CDTF">2017-04-21T02:47:00Z</dcterms:modified>
</cp:coreProperties>
</file>