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E" w:rsidRPr="00AC1C8E" w:rsidRDefault="00DF5F13" w:rsidP="00AC1C8E">
      <w:pPr>
        <w:tabs>
          <w:tab w:val="left" w:pos="43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С. И. </w:t>
      </w:r>
      <w:proofErr w:type="spellStart"/>
      <w:r>
        <w:rPr>
          <w:rFonts w:ascii="Times New Roman" w:hAnsi="Times New Roman" w:cs="Times New Roman"/>
        </w:rPr>
        <w:t>Шерман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AC1C8E" w:rsidRPr="00AC1C8E">
        <w:rPr>
          <w:rFonts w:ascii="Times New Roman" w:hAnsi="Times New Roman" w:cs="Times New Roman"/>
        </w:rPr>
        <w:t xml:space="preserve">О. В. Лунина, В. А. </w:t>
      </w:r>
      <w:proofErr w:type="spellStart"/>
      <w:r w:rsidR="00AC1C8E" w:rsidRPr="00AC1C8E">
        <w:rPr>
          <w:rFonts w:ascii="Times New Roman" w:hAnsi="Times New Roman" w:cs="Times New Roman"/>
        </w:rPr>
        <w:t>Савитский</w:t>
      </w:r>
      <w:proofErr w:type="spellEnd"/>
    </w:p>
    <w:p w:rsidR="004A008D" w:rsidRPr="00F959DE" w:rsidRDefault="004A008D" w:rsidP="00AC1C8E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DE">
        <w:rPr>
          <w:rFonts w:ascii="Times New Roman" w:hAnsi="Times New Roman" w:cs="Times New Roman"/>
          <w:b/>
          <w:sz w:val="24"/>
          <w:szCs w:val="24"/>
        </w:rPr>
        <w:t>НАПРЯЖЕННОЕ СОСТОЯНИЕ И ЗОНЫ СОВРЕМЕННОЙ ДЕСТРУКЦИИ ЛИТОСФЕРЫ АЗИИ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Аннотация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Приводится карта и выделены типы преобладающих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полей напряжений верхней части литосферы Азии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. Показаны зоны её современной деструкции литосферы. Они представляют собой высший иерархический ранг разрывных структур верхней части литосферы, отражают ее нестабильное состояние, контролируют сейсмичность и другие процессы,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закономерности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развития которых важно знать для прогноза социально опасных природных событий эндогенного происхождения.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Напряженное состояние (НС) литосферы Земли играет определяющую роль в контролировании практически всех протекающих в ней процессов. Фактически изучение НС открывает свою историю со времен начала проходки горных выработок. В настоящее время и в горных науках, и в более широком плане – Науках о Земле – изучению НС литосферы и ее самой верхней части – земной коры -  придаётся большое значение, а связанные с этим проблемы входят в число приоритетных направлений наук о Земле. Тесно взаимосвязана с НС другая проблема геодинамики – стабильность и нестабильность литосферы, особенно её верхней оболочки – земной коры – и взаимосвязанные с этим состоянием процессы её деструкции,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. В горных науках они неотделимые друг от друга, и их практическая значимость даже не обсуждается. В геотектонике, оперирующей совершенно другими площадями и масштабами исследований, НС литосферы и её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разломно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-блоковая тектоника чаще всего изучаются различными группами исследователей и не столь глубоко, как в горных науках, рассматривается их тесная взаимосвязь [1, 2 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мн.др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.]. Сразу же необходимо заметить, что никем из исследователей не оспаривается их безусловная генетическая общность. 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В лаборатории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тектонофизики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Института земной коры СО РАН проводятся комплексные тектонофизические исследования двух упомянутых проблем геодинамики: НС литосферы и закономерностей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в ней, в том числе формирования крупных современных деструктивных зон [3]. Базой исследований является Центральная Азия [4, 5, 6]. Выделены преобладающие типы напряженных состояний литосферы [7], разработаны и предложены способы картографирования и изображения вариаций типов НС литосферы в виде цветовой гаммы площадей, контуры которых соответствуют пространствам и объемам литосферы, находящимся в соответствующем напряженном состоянии [4, 6]. Наиболее распространенными в литосфере Земли являются поля напряжений растяжения, сжатия, сдвига, растяжения в сочетании со сдвигом, сжатия в сочетании со сдвигом и «нейтральное». По геолого-структурным, сейсмологическим и другим данным построена карта НС верхней части литосферы Азии (рис. 1), на которой дополнительно показаны эпицентры землетрясений с магнитудой М ≥ 4.5. Принципы составления карты и основные критерии проведения границ между областями с разным режимом НС приводятся в работе [4]. Возраст полей напряжений для больших по площади регионов определяется как минимум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позднекайнозойский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. Глубины характеризуемых НС охватывают объем коры как минимум до 20 км, хотя при определённых тектонических условиях тензор НС с глубиной может изменяться.  Об этом свидетельствуют несколько групп фактов, главным из которых являются механизмы очагов глубоких землетрясений. Они подтверждают сходимость тензоров напряжений, определенных по геолого-структурным данным на земной поверхности и по очагам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коровых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землетрясений. Представленная карта (см. рис.1) составлена на базе современных </w:t>
      </w:r>
      <w:r w:rsidRPr="0027190A">
        <w:rPr>
          <w:rFonts w:ascii="Times New Roman" w:hAnsi="Times New Roman" w:cs="Times New Roman"/>
          <w:sz w:val="24"/>
          <w:szCs w:val="24"/>
        </w:rPr>
        <w:lastRenderedPageBreak/>
        <w:t>методов ГИС-технологий, что открывает широкие возможности работать с её материалами в различных проекциях и с необходимой точностью, которая требуется при анализе насыщающих карту структурных и других элементов.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27190A" w:rsidRDefault="004A008D" w:rsidP="004A008D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9E5E1" wp14:editId="2484C68D">
            <wp:extent cx="5683840" cy="5175849"/>
            <wp:effectExtent l="0" t="0" r="0" b="6350"/>
            <wp:docPr id="82" name="Рисунок 82" descr="D:\18НАУЧНАЯ РАБОТА\01СТАТЬИ\2017\ТРУДЫ\Шерман Рукописи по темам\ТЕМА 5\[332] Проблемы и перспективы развития горных наук, 2005, Т.1\Sherman\Sherman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D:\18НАУЧНАЯ РАБОТА\01СТАТЬИ\2017\ТРУДЫ\Шерман Рукописи по темам\ТЕМА 5\[332] Проблемы и перспективы развития горных наук, 2005, Т.1\Sherman\ShermanFi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4" b="27230"/>
                    <a:stretch/>
                  </pic:blipFill>
                  <pic:spPr bwMode="auto">
                    <a:xfrm>
                      <a:off x="0" y="0"/>
                      <a:ext cx="5695138" cy="51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Рис. 1. Карта напряженного состояния верхней части литосферы Азии и эпицентральное поле землетрясений с М≥4.5. Условные обозначения: 1 – области растяжения; 2 – области растяжения со сдвигом; 3 – области сдвига; 4 – области сжатия со сдвигом; 5 – области сжатия; 6 – области тектонически нейтрального напряженного состояния; 7 – области с неустановленным типом напряженного состояния.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 Способ изображения типов НС на карте (см. рис.1) позволил провести приблизительную оценку их площадного распространения в пределах тектонически активных областей континентов и океанов. Эти площади неравновелики. Их примерное распределение приведено в таблице. Видно, что в континентальной части Азии значительные пространства охвачены сдвиговым типом НС. Второе и третье место по распространенности занимают поля напряжений сжатия со сдвигом и сжатия, соответственно. На океанах эти соотношения несколько меняются.  Здесь на большей части под акваториями преобладают напряжения сжатия, в меньшей степени сдвига и сжатия со сдвигом. Тектонический режим растяжения и растяжения со сдвигом охватывает незначительные площади. Большое значение имеет объем литосферы, характеризующийся определенным типом напряженного состояния. Приняв, что поле напряжений существенно не изменяется с глубиной в границах хрупкой (упругой) части </w:t>
      </w:r>
      <w:r w:rsidRPr="0027190A">
        <w:rPr>
          <w:rFonts w:ascii="Times New Roman" w:hAnsi="Times New Roman" w:cs="Times New Roman"/>
          <w:sz w:val="24"/>
          <w:szCs w:val="24"/>
        </w:rPr>
        <w:lastRenderedPageBreak/>
        <w:t xml:space="preserve">литосферы и среднюю мощность континентальной коры равную 35 км, а океанической – 7.5 км, были определены соотношения объемов масс земной коры Азии с различными напряженными состояниями (см. табл.). Результаты расчетов показывают, что объемы земной коры тектонически активных регионов Азии охвачены преимущественно напряжениями сдвига, сжатия и сжатия со сдвигом.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На значительной части территории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преобладает относительно нейтральное поле напряжений, когда вертикальная составляющая напряжений больше двух горизонтальных: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σ</w:t>
      </w:r>
      <w:r w:rsidRPr="0027190A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>&gt;σ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27190A">
        <w:rPr>
          <w:rFonts w:ascii="Times New Roman" w:hAnsi="Times New Roman" w:cs="Times New Roman"/>
          <w:sz w:val="24"/>
          <w:szCs w:val="24"/>
        </w:rPr>
        <w:t>=σ</w:t>
      </w:r>
      <w:r w:rsidRPr="002719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27190A">
        <w:rPr>
          <w:rFonts w:ascii="Times New Roman" w:hAnsi="Times New Roman" w:cs="Times New Roman"/>
          <w:sz w:val="24"/>
          <w:szCs w:val="24"/>
        </w:rPr>
        <w:t>.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Процентные соотношения распространенности типов напряженного состояния земной коры тектонически активных областей Азии </w:t>
      </w:r>
    </w:p>
    <w:tbl>
      <w:tblPr>
        <w:tblW w:w="9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40"/>
        <w:gridCol w:w="1305"/>
        <w:gridCol w:w="1276"/>
        <w:gridCol w:w="1311"/>
        <w:gridCol w:w="1254"/>
        <w:gridCol w:w="1199"/>
      </w:tblGrid>
      <w:tr w:rsidR="004A008D" w:rsidRPr="0027190A" w:rsidTr="00CA6421">
        <w:trPr>
          <w:cantSplit/>
        </w:trPr>
        <w:tc>
          <w:tcPr>
            <w:tcW w:w="1630" w:type="dxa"/>
            <w:vMerge w:val="restart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Тип напряженного состояния</w:t>
            </w:r>
          </w:p>
        </w:tc>
        <w:tc>
          <w:tcPr>
            <w:tcW w:w="2445" w:type="dxa"/>
            <w:gridSpan w:val="2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Континентальная кора</w:t>
            </w:r>
          </w:p>
        </w:tc>
        <w:tc>
          <w:tcPr>
            <w:tcW w:w="2587" w:type="dxa"/>
            <w:gridSpan w:val="2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Океаническая кора</w:t>
            </w:r>
          </w:p>
        </w:tc>
        <w:tc>
          <w:tcPr>
            <w:tcW w:w="2453" w:type="dxa"/>
            <w:gridSpan w:val="2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Земная кора Азии</w:t>
            </w:r>
          </w:p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(в целом)</w:t>
            </w:r>
          </w:p>
        </w:tc>
      </w:tr>
      <w:tr w:rsidR="004A008D" w:rsidRPr="0027190A" w:rsidTr="00CA6421">
        <w:trPr>
          <w:cantSplit/>
        </w:trPr>
        <w:tc>
          <w:tcPr>
            <w:tcW w:w="1630" w:type="dxa"/>
            <w:vMerge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Площадь, (км</w:t>
            </w:r>
            <w:proofErr w:type="gramStart"/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 %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Объем, (км</w:t>
            </w:r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)%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Площадь, (км</w:t>
            </w:r>
            <w:proofErr w:type="gramStart"/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 %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Объем, (км</w:t>
            </w:r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)%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Площадь, (км</w:t>
            </w:r>
            <w:proofErr w:type="gramStart"/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 %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Объем, (км</w:t>
            </w:r>
            <w:r w:rsidRPr="0027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)%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Сжатие</w:t>
            </w: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Сдвиг</w:t>
            </w: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Растяжение</w:t>
            </w: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Сжатие со сдвигом</w:t>
            </w: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Растяжение со сдвигом</w:t>
            </w: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08D" w:rsidRPr="0027190A" w:rsidTr="00CA6421">
        <w:tc>
          <w:tcPr>
            <w:tcW w:w="163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4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9" w:type="dxa"/>
          </w:tcPr>
          <w:p w:rsidR="004A008D" w:rsidRPr="0027190A" w:rsidRDefault="004A008D" w:rsidP="00CA642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Ранее были проведены подобные расчеты по соотношению распространенности типов НС в земной коре для всей Земли [6]. Они показали, что три главных типа НС – сжатие, растяжение и сдвиг, определяющие основные геолого-геофизические процессы, примерно в равной степени распространены в объеме земной коры. Различия в соотношениях объемов для Земли в целом и для континента Азии, свидетельствуют о том, что напряженное состояние тесно связано с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подлитосферными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процессами, происходящими либо на границах плит, либо в существенном удалении от них. В Азии им соответствуют, главным образом, коллизионные 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субдукционные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процессы, с которыми связаны напряжения сжатия, трансформируемые часто в напряжения сжатия со сдвигом и чистого сдвига. Реже, это напряжения растяжения, связанные с подъёмом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астеносферного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выступа под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Байкальской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и другими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рифтовыми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системами.  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Длительное, однотипное по соотношению векторов и неизменяющееся в пространстве действие напряжений приводит к формированию деструктивных зон литосферы (ДЗЛ) - недавно введенное в геотектоническую литературу новое понятие. Оно расширяет представления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Р.М.Лобацкой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[8,</w:t>
      </w:r>
      <w:r w:rsidRPr="006548BC">
        <w:rPr>
          <w:rFonts w:ascii="Times New Roman" w:hAnsi="Times New Roman" w:cs="Times New Roman"/>
          <w:sz w:val="24"/>
          <w:szCs w:val="24"/>
        </w:rPr>
        <w:t xml:space="preserve"> </w:t>
      </w:r>
      <w:r w:rsidRPr="0027190A">
        <w:rPr>
          <w:rFonts w:ascii="Times New Roman" w:hAnsi="Times New Roman" w:cs="Times New Roman"/>
          <w:sz w:val="24"/>
          <w:szCs w:val="24"/>
        </w:rPr>
        <w:t xml:space="preserve">14] о деструктивных полях в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геодинамически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активных формированиях литосферы. Под ДЗЛ понимаются области её повышенной раздробленности и относительно высокой плотности разломов, интенсивного напряженного состояния, высоких скоростей деформирования среды и контрастных вариаций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значений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геофизических полей [3]. Являясь наиболее крупными членами масштабной иерархии разломных структур, ДЗЛ заключают в своём внутреннем строении многочисленные разрывные нарушения (трещины и разломы) и вычленяемые ими блоки широкого спектра форм и линейных размеров. Морфологические и кинематические особенности внутренней структуры ДЗЛ определяются типом напряженного состояния литосферы. Такие зоны являются наиболее нестабильными областями литосферы и представляют собой территории потенциальных природно-техногенных катастроф. 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В последние годы в границах Байкальской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системы (БРС) выделена зона современной деструкции литосферы [9]. Она представляет собой пояс современного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lastRenderedPageBreak/>
        <w:t>разломообразования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и/или активизации разломов более древнего заложения в сочетании с линейно расположенными стабильными за многолетний период времени ареалами концентрации эпицентров землетрясений. Последние отражают активно текущий процесс удлинения, слияния или формирования отдельных разломов, что в целом отражает процесс новейшей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90A">
        <w:rPr>
          <w:rFonts w:ascii="Times New Roman" w:hAnsi="Times New Roman" w:cs="Times New Roman"/>
          <w:sz w:val="24"/>
          <w:szCs w:val="24"/>
        </w:rPr>
        <w:t xml:space="preserve">активизации 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различных масштабных уровней на современном этапе развития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 синхронно сопровождающей его сейсмичности. Зона современной деструкции может рассматриваться как самостоятельная разрывная геотектоническая структура более высокого по сравнению с крупными разломами иерархического уровня. Область её динамического влияния определяет современную</w:t>
      </w:r>
      <w:r w:rsidRPr="00271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A">
        <w:rPr>
          <w:rFonts w:ascii="Times New Roman" w:hAnsi="Times New Roman" w:cs="Times New Roman"/>
          <w:sz w:val="24"/>
          <w:szCs w:val="24"/>
        </w:rPr>
        <w:t xml:space="preserve">сейсмическую активность БРС.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 xml:space="preserve">Подтверждается сделанный раннее В.В.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Ружичем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[10] более широкий вывод о том, что развитие всей Байкальской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зоны можно рассматривать как формирование крупномасштабного деструктивного элемента литосферы.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К настоящему времени наиболее детально изучена зона современной деструкции в БРС, выделенная на базе тщательного анализа сейсмологических данных, накопленных за последние 40 лет инструментального периода [9, 11].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В целом она характеризуется стабильной во времени и пространстве сейсмичностью, в то время как внутри её отдельных разломов наблюдается пространственно-временная миграция очагов землетрясений. 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Аналогичная работа по выделению ДЗЛ проведена для территории Азии. При анализе эпицентрального поля сильных землетрясений с М </w:t>
      </w:r>
      <w:r w:rsidRPr="0027190A">
        <w:rPr>
          <w:rFonts w:ascii="Times New Roman" w:hAnsi="Times New Roman" w:cs="Times New Roman"/>
          <w:sz w:val="24"/>
          <w:szCs w:val="24"/>
        </w:rPr>
        <w:sym w:font="Symbol" w:char="F0B3"/>
      </w:r>
      <w:r w:rsidRPr="0027190A">
        <w:rPr>
          <w:rFonts w:ascii="Times New Roman" w:hAnsi="Times New Roman" w:cs="Times New Roman"/>
          <w:sz w:val="24"/>
          <w:szCs w:val="24"/>
        </w:rPr>
        <w:t xml:space="preserve"> 4.5  Азии, было замечено, что на фоне общего распределения сейсмичности выделяются линейно-вытянутые зоны сгущения региональных и локальных разломов и повышения плотности эпицентров землетрясений, подобные деструктивной зоне в БРС. Проведенная работа позволила выделить в континентальной части Азии несколько зон современной деструкции литосферы, показанные на рис.2. 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1D296" wp14:editId="6AB88348">
            <wp:extent cx="5540051" cy="4597879"/>
            <wp:effectExtent l="0" t="0" r="3810" b="0"/>
            <wp:docPr id="83" name="Рисунок 83" descr="D:\18НАУЧНАЯ РАБОТА\01СТАТЬИ\2017\ТРУДЫ\Шерман Рукописи по темам\ТЕМА 5\[332] Проблемы и перспективы развития горных наук, 2005, Т.1\Sherman\Sherman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D:\18НАУЧНАЯ РАБОТА\01СТАТЬИ\2017\ТРУДЫ\Шерман Рукописи по темам\ТЕМА 5\[332] Проблемы и перспективы развития горных наук, 2005, Т.1\Sherman\ShermanFi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22" cy="461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lastRenderedPageBreak/>
        <w:t>Рис. 2.</w:t>
      </w:r>
      <w:r w:rsidRPr="0065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8BC">
        <w:rPr>
          <w:rFonts w:ascii="Times New Roman" w:hAnsi="Times New Roman" w:cs="Times New Roman"/>
          <w:sz w:val="24"/>
          <w:szCs w:val="24"/>
        </w:rPr>
        <w:t>Зоны современной деструкции литосферы Азии. Условные обозначения: 1 – осевые линии зон современной деструкции литосферы. Другие обозначения см. рис. 1.</w:t>
      </w:r>
    </w:p>
    <w:p w:rsid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Картируемые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в Азии зоны современной деструкции литосферы по ареалу распределения плотности эпицентров землетрясений с магнитудой М ≥ 4.5 классифицируются на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межплитные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внутриплитные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. Как правило,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межплитные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деструктивные зоны обладают более высокими параметрами, такими как ширина зон, энергетический сейсмический потенциал, выражающийся в более частых землетрясениях больших магнитуд, высоких скоростях деформаций и другими.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Межплитные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ДЗЛ совпадают с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субдукционными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спрединговыми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и коллизионными границами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Евроазиатской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и сопредельных литосферных плит.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Внутриплитные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ДЗЛ характеризуются сравнительно более низкими энергетическими параметрами. Как правило, они отражают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межблоковые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границы сложной системы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разломно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-блоковых структур Евроазиатской плиты. Области, охваченные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внутриплитными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ДЗЛ, часто представляют важные в социальном плане территории, поскольку именно они наиболее густо заселены и урбанизированы (Средиземноморье, Китай, Индия, Иран, Ирак). Пространство между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сближенными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ДЗЛ характеризуется рассеянным распределением сейсмичности. В узлах пересечения ДЗЛ концентрация эпицентров землетрясений увеличивается. 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Совершенно естественно, что ДЗЛ совпадают с областями длительного действия напряжений сжатия, растяжения и сдвига. Для континента Азии дополнительно намечаются некоторые другие важные закономерности: 1) зачастую осевые линии ДЗЛ приурочены к границам, разделяющим области с различными типами напряженного состояния; 2) наиболее густо ДЗЛ концентрируются в пределах площадей с мозаичным распределением разных типов полей напряжений; 3) развитие общего направленного процесса деструкции в области с одним типом напряженного состояния   не прерывается при переходе в область с другим типом поля напряжений. В деталях же особенности развития процесса деструкции и механизмов очагов землетрясений при изменении типов напряженного состояния могут различаться. Различие выражается в кинематике подвижек, геометрии и других деталях внутреннего строения ДЗЛ. Отмеченные свойства могут свидетельствовать о том, что при изменении напряженного состояния в среде происходят определенные качественные изменения, которые в относительно кратковременный период усиливают или замедляют процесс разрушения. Учитывая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самоподобие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 процесса разрушения и сейсмичности, доказанного многочисленными работами [12, 13 и мн. др.], можно полагать, что выявленные особенности проявляются на всех иерархических уровнях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разломно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>-блоковой тектоники, вплоть до развития системы трещин в горном массиве.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 xml:space="preserve">Таким образом, можно утверждать, что НС литосферы -  важная, сложная, изменяющаяся в пространстве и времени фундаментальная характеристика литосферы, которая наряду с другими ее свойствами и параметрами – тепловым потоком, гравитационным и магнитным полями,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расслоенностью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90A">
        <w:rPr>
          <w:rFonts w:ascii="Times New Roman" w:hAnsi="Times New Roman" w:cs="Times New Roman"/>
          <w:sz w:val="24"/>
          <w:szCs w:val="24"/>
        </w:rPr>
        <w:t>разломно</w:t>
      </w:r>
      <w:proofErr w:type="spellEnd"/>
      <w:r w:rsidRPr="0027190A">
        <w:rPr>
          <w:rFonts w:ascii="Times New Roman" w:hAnsi="Times New Roman" w:cs="Times New Roman"/>
          <w:sz w:val="24"/>
          <w:szCs w:val="24"/>
        </w:rPr>
        <w:t xml:space="preserve">-блоковой структурой и прочими – определяет современный геодинамический режим развития литосферы и контролирует протекающие в ней процессы. Одни из них - формирование ДЗЛ. Они представляют собой высший иерархический ранг разрывных структур верхней части литосферы, отражают ее нестабильное состояние, контролируют сейсмичность и другие процессы, </w:t>
      </w:r>
      <w:proofErr w:type="gramStart"/>
      <w:r w:rsidRPr="0027190A">
        <w:rPr>
          <w:rFonts w:ascii="Times New Roman" w:hAnsi="Times New Roman" w:cs="Times New Roman"/>
          <w:sz w:val="24"/>
          <w:szCs w:val="24"/>
        </w:rPr>
        <w:t>закономерности</w:t>
      </w:r>
      <w:proofErr w:type="gramEnd"/>
      <w:r w:rsidRPr="0027190A">
        <w:rPr>
          <w:rFonts w:ascii="Times New Roman" w:hAnsi="Times New Roman" w:cs="Times New Roman"/>
          <w:sz w:val="24"/>
          <w:szCs w:val="24"/>
        </w:rPr>
        <w:t xml:space="preserve"> развития которых важно знать для прогноза социально опасных природных событий эндогенного происхождения.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0A">
        <w:rPr>
          <w:rFonts w:ascii="Times New Roman" w:hAnsi="Times New Roman" w:cs="Times New Roman"/>
          <w:sz w:val="24"/>
          <w:szCs w:val="24"/>
        </w:rPr>
        <w:t>Работа выполнена при поддержке гранта РФФИ 04-05-64348, Программы ИГ СО РАН 2003-101, гранта Минобразования Е02-8-45.</w:t>
      </w:r>
    </w:p>
    <w:p w:rsidR="004A008D" w:rsidRPr="0027190A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08D" w:rsidRPr="006548BC" w:rsidRDefault="004A008D" w:rsidP="00AC1C8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B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A008D" w:rsidRPr="00AC1C8E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48BC">
        <w:rPr>
          <w:rFonts w:ascii="Times New Roman" w:hAnsi="Times New Roman" w:cs="Times New Roman"/>
          <w:sz w:val="24"/>
          <w:szCs w:val="24"/>
          <w:lang w:val="en-US"/>
        </w:rPr>
        <w:t>Zoback</w:t>
      </w:r>
      <w:proofErr w:type="spellEnd"/>
      <w:r w:rsidRPr="006548BC">
        <w:rPr>
          <w:rFonts w:ascii="Times New Roman" w:hAnsi="Times New Roman" w:cs="Times New Roman"/>
          <w:sz w:val="24"/>
          <w:szCs w:val="24"/>
          <w:lang w:val="en-US"/>
        </w:rPr>
        <w:t xml:space="preserve"> M.L. First and Second order patterns of stress in the Lithosphere: The World Stress Map project. //</w:t>
      </w:r>
      <w:proofErr w:type="spellStart"/>
      <w:r w:rsidRPr="006548BC">
        <w:rPr>
          <w:rFonts w:ascii="Times New Roman" w:hAnsi="Times New Roman" w:cs="Times New Roman"/>
          <w:sz w:val="24"/>
          <w:szCs w:val="24"/>
          <w:lang w:val="en-US"/>
        </w:rPr>
        <w:t>J.Geophys</w:t>
      </w:r>
      <w:proofErr w:type="spellEnd"/>
      <w:r w:rsidRPr="006548BC">
        <w:rPr>
          <w:rFonts w:ascii="Times New Roman" w:hAnsi="Times New Roman" w:cs="Times New Roman"/>
          <w:sz w:val="24"/>
          <w:szCs w:val="24"/>
          <w:lang w:val="en-US"/>
        </w:rPr>
        <w:t>. Res., special issue, 1992, 26</w:t>
      </w:r>
      <w:proofErr w:type="gramStart"/>
      <w:r w:rsidRPr="006548BC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6548BC">
        <w:rPr>
          <w:rFonts w:ascii="Times New Roman" w:hAnsi="Times New Roman" w:cs="Times New Roman"/>
          <w:sz w:val="24"/>
          <w:szCs w:val="24"/>
          <w:lang w:val="en-US"/>
        </w:rPr>
        <w:t>. PP</w:t>
      </w:r>
      <w:r w:rsidRPr="00AC1C8E">
        <w:rPr>
          <w:rFonts w:ascii="Times New Roman" w:hAnsi="Times New Roman" w:cs="Times New Roman"/>
          <w:sz w:val="24"/>
          <w:szCs w:val="24"/>
        </w:rPr>
        <w:t>. 11703-11728.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548BC">
        <w:rPr>
          <w:rFonts w:ascii="Times New Roman" w:hAnsi="Times New Roman" w:cs="Times New Roman"/>
          <w:sz w:val="24"/>
          <w:szCs w:val="24"/>
        </w:rPr>
        <w:t xml:space="preserve"> Кропоткин П.Н. Тектонические напряжения в земной коре // Геотектоника.- </w:t>
      </w:r>
      <w:r w:rsidRPr="006548BC">
        <w:rPr>
          <w:rFonts w:ascii="Times New Roman" w:hAnsi="Times New Roman" w:cs="Times New Roman"/>
          <w:sz w:val="24"/>
          <w:szCs w:val="24"/>
        </w:rPr>
        <w:tab/>
        <w:t>1996.- № 2. - С. 3-16.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 Деструктивные зоны литосферы, их напряженное состояние и сейсмичность //Неотектоника и современная геодинамика континентов и океанов. М.: РАН, МТК.1996. С. 157-158.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С.И., Лунина О.В. Новая карта напряженного состояния верхней части литосферы Земли // </w:t>
      </w:r>
      <w:proofErr w:type="gramStart"/>
      <w:r w:rsidRPr="006548BC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6548BC">
        <w:rPr>
          <w:rFonts w:ascii="Times New Roman" w:hAnsi="Times New Roman" w:cs="Times New Roman"/>
          <w:sz w:val="24"/>
          <w:szCs w:val="24"/>
        </w:rPr>
        <w:t>, 2001, т. 378, № 5. С. 672-674.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С.И., Лунина О.В. Напряженное состояние литосферы Азии// Геодинамическая эволюция литосферы Центрально-Азиатского подвижного пояса (от океана к континенту). Институт земной коры.  Иркутск: Изд-во Института географии СО РАН, 2003. С. 271-275.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6. Лунина О.В. Анализ распределения типов напряженного состояния в земной коре / Геофизика-2001: тезисы докладов международной конференции молодых ученых, специалистов и студентов. Новосибирск: Изд-во ИГФ СО РАН, 2001, с. 126-128.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gramStart"/>
      <w:r w:rsidRPr="006548BC">
        <w:rPr>
          <w:rFonts w:ascii="Times New Roman" w:hAnsi="Times New Roman" w:cs="Times New Roman"/>
          <w:sz w:val="24"/>
          <w:szCs w:val="24"/>
        </w:rPr>
        <w:t>Днепровский</w:t>
      </w:r>
      <w:proofErr w:type="gramEnd"/>
      <w:r w:rsidRPr="006548BC">
        <w:rPr>
          <w:rFonts w:ascii="Times New Roman" w:hAnsi="Times New Roman" w:cs="Times New Roman"/>
          <w:sz w:val="24"/>
          <w:szCs w:val="24"/>
        </w:rPr>
        <w:t xml:space="preserve"> Ю.И. Поля напряжений земной коры и геолого-структурные методы их изучения. Новосибирск: «Наука», Сибирское отделение, 1989, 157 с.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К.Ж.,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С.А., Адамович А.Н.,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Р.М., Лысак С.В., Леви К.Г.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Разломообразование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 литосфере. Зоны растяжения Новосибирск: Наука.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>. отделение, 1992. 262 с.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Демьянович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В.М., Лысак С.В. Новые данные о современной деструкции литосферы в Байкальской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зоне //Доклады Академии наук, 2002, том 387, № 4, с. 533-536.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В.В. Сейсмотектоническая деструкция в земной коре Байкальской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зоны. Новосибирск: Изд. СО РАН, 1997.144 с.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С.И,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Демьянович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В.М, Лысак С.В.</w:t>
      </w:r>
      <w:r w:rsidRPr="006548BC">
        <w:rPr>
          <w:rFonts w:ascii="Times New Roman" w:hAnsi="Times New Roman" w:cs="Times New Roman"/>
          <w:bCs/>
          <w:sz w:val="24"/>
          <w:szCs w:val="24"/>
        </w:rPr>
        <w:t xml:space="preserve"> Сейсмический процесс и современная многоуровневая деструкция литосферы в Байкальской </w:t>
      </w:r>
      <w:proofErr w:type="spellStart"/>
      <w:r w:rsidRPr="006548BC">
        <w:rPr>
          <w:rFonts w:ascii="Times New Roman" w:hAnsi="Times New Roman" w:cs="Times New Roman"/>
          <w:bCs/>
          <w:sz w:val="24"/>
          <w:szCs w:val="24"/>
        </w:rPr>
        <w:t>рифтовой</w:t>
      </w:r>
      <w:proofErr w:type="spellEnd"/>
      <w:r w:rsidRPr="006548BC">
        <w:rPr>
          <w:rFonts w:ascii="Times New Roman" w:hAnsi="Times New Roman" w:cs="Times New Roman"/>
          <w:bCs/>
          <w:sz w:val="24"/>
          <w:szCs w:val="24"/>
        </w:rPr>
        <w:t xml:space="preserve"> зоне //Геология и геофизика, 2004 (в печати).</w:t>
      </w:r>
    </w:p>
    <w:p w:rsidR="004A008D" w:rsidRPr="004A008D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Стаховский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И.Р. </w:t>
      </w:r>
      <w:r w:rsidRPr="006548BC">
        <w:rPr>
          <w:rFonts w:ascii="Times New Roman" w:hAnsi="Times New Roman" w:cs="Times New Roman"/>
          <w:bCs/>
          <w:sz w:val="24"/>
          <w:szCs w:val="24"/>
        </w:rPr>
        <w:t xml:space="preserve">Модель согласования </w:t>
      </w:r>
      <w:proofErr w:type="spellStart"/>
      <w:r w:rsidRPr="006548BC">
        <w:rPr>
          <w:rFonts w:ascii="Times New Roman" w:hAnsi="Times New Roman" w:cs="Times New Roman"/>
          <w:bCs/>
          <w:sz w:val="24"/>
          <w:szCs w:val="24"/>
        </w:rPr>
        <w:t>скейлингов</w:t>
      </w:r>
      <w:proofErr w:type="spellEnd"/>
      <w:r w:rsidRPr="006548BC">
        <w:rPr>
          <w:rFonts w:ascii="Times New Roman" w:hAnsi="Times New Roman" w:cs="Times New Roman"/>
          <w:bCs/>
          <w:sz w:val="24"/>
          <w:szCs w:val="24"/>
        </w:rPr>
        <w:t xml:space="preserve"> разломных и сейсмических полей.</w:t>
      </w:r>
      <w:r w:rsidRPr="006548BC">
        <w:rPr>
          <w:rFonts w:ascii="Times New Roman" w:hAnsi="Times New Roman" w:cs="Times New Roman"/>
          <w:sz w:val="24"/>
          <w:szCs w:val="24"/>
        </w:rPr>
        <w:t xml:space="preserve"> Физика</w:t>
      </w:r>
      <w:r w:rsidRPr="004A0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8BC">
        <w:rPr>
          <w:rFonts w:ascii="Times New Roman" w:hAnsi="Times New Roman" w:cs="Times New Roman"/>
          <w:sz w:val="24"/>
          <w:szCs w:val="24"/>
        </w:rPr>
        <w:t>Земли</w:t>
      </w:r>
      <w:r w:rsidRPr="004A008D">
        <w:rPr>
          <w:rFonts w:ascii="Times New Roman" w:hAnsi="Times New Roman" w:cs="Times New Roman"/>
          <w:sz w:val="24"/>
          <w:szCs w:val="24"/>
          <w:lang w:val="en-US"/>
        </w:rPr>
        <w:t xml:space="preserve">, 2001, № 7, </w:t>
      </w:r>
      <w:r w:rsidRPr="006548BC">
        <w:rPr>
          <w:rFonts w:ascii="Times New Roman" w:hAnsi="Times New Roman" w:cs="Times New Roman"/>
          <w:sz w:val="24"/>
          <w:szCs w:val="24"/>
        </w:rPr>
        <w:t>С</w:t>
      </w:r>
      <w:r w:rsidRPr="004A008D">
        <w:rPr>
          <w:rFonts w:ascii="Times New Roman" w:hAnsi="Times New Roman" w:cs="Times New Roman"/>
          <w:sz w:val="24"/>
          <w:szCs w:val="24"/>
          <w:lang w:val="en-US"/>
        </w:rPr>
        <w:t>. 21-31.</w:t>
      </w:r>
    </w:p>
    <w:p w:rsidR="004A008D" w:rsidRPr="006548BC" w:rsidRDefault="004A008D" w:rsidP="004A008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6548BC">
        <w:rPr>
          <w:rFonts w:ascii="Times New Roman" w:hAnsi="Times New Roman" w:cs="Times New Roman"/>
          <w:sz w:val="24"/>
          <w:szCs w:val="24"/>
          <w:lang w:val="en-US"/>
        </w:rPr>
        <w:t xml:space="preserve">Sherman S.I., </w:t>
      </w:r>
      <w:proofErr w:type="spellStart"/>
      <w:r w:rsidRPr="006548BC">
        <w:rPr>
          <w:rFonts w:ascii="Times New Roman" w:hAnsi="Times New Roman" w:cs="Times New Roman"/>
          <w:sz w:val="24"/>
          <w:szCs w:val="24"/>
          <w:lang w:val="en-US"/>
        </w:rPr>
        <w:t>Gladkov</w:t>
      </w:r>
      <w:proofErr w:type="spellEnd"/>
      <w:r w:rsidRPr="006548BC">
        <w:rPr>
          <w:rFonts w:ascii="Times New Roman" w:hAnsi="Times New Roman" w:cs="Times New Roman"/>
          <w:sz w:val="24"/>
          <w:szCs w:val="24"/>
          <w:lang w:val="en-US"/>
        </w:rPr>
        <w:t xml:space="preserve"> A.S. Fractals in studies of faulting and seismicity in the Baikal rift </w:t>
      </w:r>
      <w:proofErr w:type="gramStart"/>
      <w:r w:rsidRPr="006548BC">
        <w:rPr>
          <w:rFonts w:ascii="Times New Roman" w:hAnsi="Times New Roman" w:cs="Times New Roman"/>
          <w:sz w:val="24"/>
          <w:szCs w:val="24"/>
          <w:lang w:val="en-US"/>
        </w:rPr>
        <w:t>zone  /</w:t>
      </w:r>
      <w:proofErr w:type="gramEnd"/>
      <w:r w:rsidRPr="006548B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548BC">
        <w:rPr>
          <w:rFonts w:ascii="Times New Roman" w:hAnsi="Times New Roman" w:cs="Times New Roman"/>
          <w:sz w:val="24"/>
          <w:szCs w:val="24"/>
          <w:lang w:val="en-US"/>
        </w:rPr>
        <w:t>Tectonophysics</w:t>
      </w:r>
      <w:proofErr w:type="spellEnd"/>
      <w:r w:rsidRPr="006548BC">
        <w:rPr>
          <w:rFonts w:ascii="Times New Roman" w:hAnsi="Times New Roman" w:cs="Times New Roman"/>
          <w:sz w:val="24"/>
          <w:szCs w:val="24"/>
          <w:lang w:val="en-US"/>
        </w:rPr>
        <w:t>, 1999, v.308; p.133-142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A22" w:rsidRPr="00AC1C8E" w:rsidRDefault="004A008D" w:rsidP="00AC1C8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Р.М. Структурная зональность разломов. Москва, «Недра», 1987. 183 с.</w:t>
      </w:r>
    </w:p>
    <w:sectPr w:rsidR="00C80A22" w:rsidRPr="00A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FB" w:rsidRDefault="003D2CFB" w:rsidP="004A008D">
      <w:pPr>
        <w:spacing w:after="0" w:line="240" w:lineRule="auto"/>
      </w:pPr>
      <w:r>
        <w:separator/>
      </w:r>
    </w:p>
  </w:endnote>
  <w:endnote w:type="continuationSeparator" w:id="0">
    <w:p w:rsidR="003D2CFB" w:rsidRDefault="003D2CFB" w:rsidP="004A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FB" w:rsidRDefault="003D2CFB" w:rsidP="004A008D">
      <w:pPr>
        <w:spacing w:after="0" w:line="240" w:lineRule="auto"/>
      </w:pPr>
      <w:r>
        <w:separator/>
      </w:r>
    </w:p>
  </w:footnote>
  <w:footnote w:type="continuationSeparator" w:id="0">
    <w:p w:rsidR="003D2CFB" w:rsidRDefault="003D2CFB" w:rsidP="004A008D">
      <w:pPr>
        <w:spacing w:after="0" w:line="240" w:lineRule="auto"/>
      </w:pPr>
      <w:r>
        <w:continuationSeparator/>
      </w:r>
    </w:p>
  </w:footnote>
  <w:footnote w:id="1">
    <w:p w:rsidR="004A008D" w:rsidRDefault="004A008D" w:rsidP="004A008D">
      <w:pPr>
        <w:pStyle w:val="a3"/>
      </w:pPr>
      <w:r>
        <w:rPr>
          <w:rStyle w:val="a5"/>
        </w:rPr>
        <w:t>*</w:t>
      </w:r>
      <w:r>
        <w:t xml:space="preserve"> </w:t>
      </w:r>
      <w:r w:rsidRPr="00F959DE">
        <w:t>С</w:t>
      </w:r>
      <w:r>
        <w:t xml:space="preserve">оавторы О.В. Лунина, В.А. </w:t>
      </w:r>
      <w:proofErr w:type="spellStart"/>
      <w:r>
        <w:t>Савитский</w:t>
      </w:r>
      <w:proofErr w:type="spellEnd"/>
      <w:r>
        <w:t>.</w:t>
      </w:r>
      <w:r w:rsidRPr="00F959DE">
        <w:t xml:space="preserve"> Проблемы и перспективы развития горных наук. Т. 1. – Новосибирск, 2005. – С. 34–39.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04"/>
    <w:rsid w:val="003C4704"/>
    <w:rsid w:val="003D2CFB"/>
    <w:rsid w:val="004A008D"/>
    <w:rsid w:val="00AC1C8E"/>
    <w:rsid w:val="00C80A22"/>
    <w:rsid w:val="00CA72E4"/>
    <w:rsid w:val="00DF5F13"/>
    <w:rsid w:val="00E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0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0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00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C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0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0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00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C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4</cp:revision>
  <dcterms:created xsi:type="dcterms:W3CDTF">2017-03-07T02:56:00Z</dcterms:created>
  <dcterms:modified xsi:type="dcterms:W3CDTF">2017-05-17T07:06:00Z</dcterms:modified>
</cp:coreProperties>
</file>