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B0" w:rsidRDefault="0069467F" w:rsidP="00143254">
      <w:pPr>
        <w:jc w:val="center"/>
        <w:rPr>
          <w:rStyle w:val="12"/>
          <w:b w:val="0"/>
          <w:sz w:val="24"/>
        </w:rPr>
      </w:pPr>
      <w:r w:rsidRPr="0069467F">
        <w:rPr>
          <w:rStyle w:val="12"/>
          <w:b w:val="0"/>
          <w:sz w:val="24"/>
        </w:rPr>
        <w:t xml:space="preserve">С. И. </w:t>
      </w:r>
      <w:proofErr w:type="spellStart"/>
      <w:r w:rsidRPr="0069467F">
        <w:rPr>
          <w:rStyle w:val="12"/>
          <w:b w:val="0"/>
          <w:sz w:val="24"/>
        </w:rPr>
        <w:t>Шерман</w:t>
      </w:r>
      <w:proofErr w:type="spellEnd"/>
      <w:r w:rsidRPr="0069467F">
        <w:rPr>
          <w:rStyle w:val="12"/>
          <w:b w:val="0"/>
          <w:sz w:val="24"/>
        </w:rPr>
        <w:t xml:space="preserve">, А. С. </w:t>
      </w:r>
      <w:bookmarkStart w:id="0" w:name="_GoBack"/>
      <w:r w:rsidRPr="0069467F">
        <w:rPr>
          <w:rStyle w:val="12"/>
          <w:b w:val="0"/>
          <w:sz w:val="24"/>
        </w:rPr>
        <w:t>Гладков</w:t>
      </w:r>
    </w:p>
    <w:p w:rsidR="0069467F" w:rsidRPr="0069467F" w:rsidRDefault="0069467F" w:rsidP="00143254">
      <w:pPr>
        <w:jc w:val="center"/>
        <w:rPr>
          <w:b/>
          <w:bCs/>
          <w:sz w:val="6"/>
        </w:rPr>
      </w:pPr>
    </w:p>
    <w:p w:rsidR="00CD63B0" w:rsidRPr="00CD63B0" w:rsidRDefault="00CD63B0" w:rsidP="00143254">
      <w:pPr>
        <w:jc w:val="center"/>
        <w:rPr>
          <w:bCs/>
        </w:rPr>
      </w:pPr>
      <w:r w:rsidRPr="00CD63B0">
        <w:rPr>
          <w:b/>
          <w:bCs/>
        </w:rPr>
        <w:t xml:space="preserve">НОВЫЕ ДАННЫЕ О ФРАКТАЛЬНОЙ РАЗМЕРНОСТИ РАЗЛОМОВ И СЕЙСМИЧНОСТИ В БАЙКАЛЬСКОЙ РИФТОВОЙ </w:t>
      </w:r>
      <w:bookmarkEnd w:id="0"/>
      <w:r w:rsidRPr="00CD63B0">
        <w:rPr>
          <w:b/>
          <w:bCs/>
        </w:rPr>
        <w:t>ЗОНЕ</w:t>
      </w:r>
      <w:r>
        <w:rPr>
          <w:rStyle w:val="a4"/>
          <w:b/>
          <w:bCs/>
        </w:rPr>
        <w:footnoteReference w:customMarkFollows="1" w:id="1"/>
        <w:t>*</w:t>
      </w:r>
    </w:p>
    <w:p w:rsidR="00CD63B0" w:rsidRPr="00CD63B0" w:rsidRDefault="00CD63B0" w:rsidP="002F45B8">
      <w:pPr>
        <w:ind w:firstLine="709"/>
        <w:jc w:val="both"/>
        <w:rPr>
          <w:bCs/>
        </w:rPr>
      </w:pP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В настоящее время применение фрактальных множеств [1] приобретает широкое распростра</w:t>
      </w:r>
      <w:r w:rsidRPr="00CD63B0">
        <w:rPr>
          <w:bCs/>
        </w:rPr>
        <w:softHyphen/>
        <w:t>нение в геотектонике, особенно в ее крупном раз</w:t>
      </w:r>
      <w:r w:rsidRPr="00CD63B0">
        <w:rPr>
          <w:bCs/>
        </w:rPr>
        <w:softHyphen/>
        <w:t>деле - разломной тектонике, и расширяет воз</w:t>
      </w:r>
      <w:r w:rsidRPr="00CD63B0">
        <w:rPr>
          <w:bCs/>
        </w:rPr>
        <w:softHyphen/>
        <w:t>можности других применяемых в ней численных методов анализа [2-4]. Фрактальный анализ яв</w:t>
      </w:r>
      <w:r w:rsidRPr="00CD63B0">
        <w:rPr>
          <w:bCs/>
        </w:rPr>
        <w:softHyphen/>
        <w:t xml:space="preserve">ляется одним из методов, приспособленным для изучения </w:t>
      </w:r>
      <w:proofErr w:type="spellStart"/>
      <w:r w:rsidRPr="00CD63B0">
        <w:rPr>
          <w:bCs/>
        </w:rPr>
        <w:t>самоподобных</w:t>
      </w:r>
      <w:proofErr w:type="spellEnd"/>
      <w:r w:rsidRPr="00CD63B0">
        <w:rPr>
          <w:bCs/>
        </w:rPr>
        <w:t xml:space="preserve"> явлений и процессов, ко</w:t>
      </w:r>
      <w:r w:rsidRPr="00CD63B0">
        <w:rPr>
          <w:bCs/>
        </w:rPr>
        <w:softHyphen/>
        <w:t xml:space="preserve">торые играют важнейшую </w:t>
      </w:r>
      <w:proofErr w:type="gramStart"/>
      <w:r w:rsidRPr="00CD63B0">
        <w:rPr>
          <w:bCs/>
        </w:rPr>
        <w:t>роль</w:t>
      </w:r>
      <w:proofErr w:type="gramEnd"/>
      <w:r w:rsidRPr="00CD63B0">
        <w:rPr>
          <w:bCs/>
        </w:rPr>
        <w:t xml:space="preserve"> как в разломной тектонике, так и в процессах, с ней генетически взаимосвязанных, например сейсмичности.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 xml:space="preserve">Применение аппарата фрактальных множеств к лабораторному исследованию землетрясений и </w:t>
      </w:r>
      <w:proofErr w:type="spellStart"/>
      <w:r w:rsidRPr="00CD63B0">
        <w:rPr>
          <w:bCs/>
        </w:rPr>
        <w:t>микроразрушений</w:t>
      </w:r>
      <w:proofErr w:type="spellEnd"/>
      <w:r w:rsidRPr="00CD63B0">
        <w:rPr>
          <w:bCs/>
        </w:rPr>
        <w:t xml:space="preserve"> показало, что множество оча</w:t>
      </w:r>
      <w:r w:rsidRPr="00CD63B0">
        <w:rPr>
          <w:bCs/>
        </w:rPr>
        <w:softHyphen/>
        <w:t>гов имеет фрактальную размерность, значения которой ниже размерности пространства, вмеща</w:t>
      </w:r>
      <w:r w:rsidRPr="00CD63B0">
        <w:rPr>
          <w:bCs/>
        </w:rPr>
        <w:softHyphen/>
        <w:t>ющего очаги [5, 6]. В работе [8] приведены аргу</w:t>
      </w:r>
      <w:r w:rsidRPr="00CD63B0">
        <w:rPr>
          <w:bCs/>
        </w:rPr>
        <w:softHyphen/>
        <w:t xml:space="preserve">ментированные доказательства </w:t>
      </w:r>
      <w:proofErr w:type="spellStart"/>
      <w:r w:rsidRPr="00CD63B0">
        <w:rPr>
          <w:bCs/>
        </w:rPr>
        <w:t>самоподобия</w:t>
      </w:r>
      <w:proofErr w:type="spellEnd"/>
      <w:r w:rsidRPr="00CD63B0">
        <w:rPr>
          <w:bCs/>
        </w:rPr>
        <w:t xml:space="preserve"> соб</w:t>
      </w:r>
      <w:r w:rsidRPr="00CD63B0">
        <w:rPr>
          <w:bCs/>
        </w:rPr>
        <w:softHyphen/>
        <w:t>ственно сейсмического процесса во времени в Байкальской рифтовой зоне (БРЗ). Сейсмичес</w:t>
      </w:r>
      <w:r w:rsidRPr="00CD63B0">
        <w:rPr>
          <w:bCs/>
        </w:rPr>
        <w:softHyphen/>
        <w:t>кий процесс рассмотрен вне связи с геодинамикой и полем напряжений в этой зоне.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Изложенное дает основание продолжить ис</w:t>
      </w:r>
      <w:r w:rsidRPr="00CD63B0">
        <w:rPr>
          <w:bCs/>
        </w:rPr>
        <w:softHyphen/>
        <w:t>следование на новом уровне и сопоставить два ус</w:t>
      </w:r>
      <w:r w:rsidRPr="00CD63B0">
        <w:rPr>
          <w:bCs/>
        </w:rPr>
        <w:softHyphen/>
        <w:t xml:space="preserve">ловно независимых процесса, протекающих в БРЗ - </w:t>
      </w:r>
      <w:proofErr w:type="spellStart"/>
      <w:r w:rsidRPr="00CD63B0">
        <w:rPr>
          <w:bCs/>
        </w:rPr>
        <w:t>разломообразование</w:t>
      </w:r>
      <w:proofErr w:type="spellEnd"/>
      <w:r w:rsidRPr="00CD63B0">
        <w:rPr>
          <w:bCs/>
        </w:rPr>
        <w:t xml:space="preserve"> и сейсмичность, тем более что подобный подход [7] открывает новые исследовательские возможности.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Фрактальная размерность разломов в БРЗ оценивалась по своему главному показателю - карте разломов (рис. 1), фрактальная размер</w:t>
      </w:r>
      <w:r w:rsidRPr="00CD63B0">
        <w:rPr>
          <w:bCs/>
        </w:rPr>
        <w:softHyphen/>
        <w:t>ность сейсмичности - по эпицентральному полю землетрясений (рис. 2). В центральной части БРЗ преобладает растяжение литосферы, на флангах - растяжение со сдвигом [9]. Для расчетов фрак</w:t>
      </w:r>
      <w:r w:rsidRPr="00CD63B0">
        <w:rPr>
          <w:bCs/>
        </w:rPr>
        <w:softHyphen/>
        <w:t xml:space="preserve">тальной размерности было использовано более 3000 разломов с длиною от 1 до 80-100 км, </w:t>
      </w:r>
      <w:proofErr w:type="spellStart"/>
      <w:r w:rsidRPr="00CD63B0">
        <w:rPr>
          <w:bCs/>
        </w:rPr>
        <w:t>закартированных</w:t>
      </w:r>
      <w:proofErr w:type="spellEnd"/>
      <w:r w:rsidRPr="00CD63B0">
        <w:rPr>
          <w:bCs/>
        </w:rPr>
        <w:t xml:space="preserve"> на площади БРЗ государственной гео</w:t>
      </w:r>
      <w:r w:rsidRPr="00CD63B0">
        <w:rPr>
          <w:bCs/>
        </w:rPr>
        <w:softHyphen/>
        <w:t>логической съемкой масштаба 1</w:t>
      </w:r>
      <w:proofErr w:type="gramStart"/>
      <w:r w:rsidRPr="00CD63B0">
        <w:rPr>
          <w:bCs/>
        </w:rPr>
        <w:t xml:space="preserve"> :</w:t>
      </w:r>
      <w:proofErr w:type="gramEnd"/>
      <w:r w:rsidRPr="00CD63B0">
        <w:rPr>
          <w:bCs/>
        </w:rPr>
        <w:t xml:space="preserve"> 200000. Эпицентральное поле землетрясений проанализиро</w:t>
      </w:r>
      <w:r w:rsidRPr="00CD63B0">
        <w:rPr>
          <w:bCs/>
        </w:rPr>
        <w:softHyphen/>
        <w:t>вано на основе более 60000 данных об очагах землетрясений с магнитудой более 2.2, зафикси</w:t>
      </w:r>
      <w:r w:rsidRPr="00CD63B0">
        <w:rPr>
          <w:bCs/>
        </w:rPr>
        <w:softHyphen/>
        <w:t>рованных на территории с 1960 по 1991 гг. и внесенных в Каталог землетрясений БРЗ, составлен</w:t>
      </w:r>
      <w:r w:rsidRPr="00CD63B0">
        <w:rPr>
          <w:bCs/>
        </w:rPr>
        <w:softHyphen/>
        <w:t>ный в Институте земной коры СО РАН.</w:t>
      </w:r>
    </w:p>
    <w:p w:rsid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Степень деструкции литосферы в БРЗ оцени</w:t>
      </w:r>
      <w:r w:rsidRPr="00CD63B0">
        <w:rPr>
          <w:bCs/>
        </w:rPr>
        <w:softHyphen/>
        <w:t xml:space="preserve">валась по фрактальной размерности </w:t>
      </w:r>
      <w:r w:rsidRPr="00CD63B0">
        <w:rPr>
          <w:bCs/>
          <w:i/>
          <w:lang w:val="en-US"/>
        </w:rPr>
        <w:t>D</w:t>
      </w:r>
      <w:r w:rsidRPr="00CD63B0">
        <w:rPr>
          <w:bCs/>
        </w:rPr>
        <w:t>, рассчиты</w:t>
      </w:r>
      <w:r w:rsidRPr="00CD63B0">
        <w:rPr>
          <w:bCs/>
        </w:rPr>
        <w:softHyphen/>
        <w:t>ваемой по уравнению</w:t>
      </w:r>
    </w:p>
    <w:p w:rsidR="002F45B8" w:rsidRPr="002F45B8" w:rsidRDefault="002F45B8" w:rsidP="002F45B8">
      <w:pPr>
        <w:ind w:firstLine="709"/>
        <w:jc w:val="both"/>
        <w:rPr>
          <w:bCs/>
        </w:rPr>
      </w:pPr>
      <w:r w:rsidRPr="002F45B8">
        <w:rPr>
          <w:bCs/>
          <w:position w:val="-30"/>
        </w:rPr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35pt" o:ole="">
            <v:imagedata r:id="rId9" o:title=""/>
          </v:shape>
          <o:OLEObject Type="Embed" ProgID="Equation.3" ShapeID="_x0000_i1025" DrawAspect="Content" ObjectID="_1557138482" r:id="rId10"/>
        </w:object>
      </w:r>
      <w:r>
        <w:rPr>
          <w:bCs/>
        </w:rPr>
        <w:t>,</w:t>
      </w:r>
    </w:p>
    <w:p w:rsidR="00CD63B0" w:rsidRPr="00CD63B0" w:rsidRDefault="00CD63B0" w:rsidP="002F45B8">
      <w:pPr>
        <w:jc w:val="both"/>
        <w:rPr>
          <w:bCs/>
        </w:rPr>
      </w:pPr>
      <w:r w:rsidRPr="00CD63B0">
        <w:rPr>
          <w:bCs/>
        </w:rPr>
        <w:t xml:space="preserve">где </w:t>
      </w:r>
      <w:proofErr w:type="spellStart"/>
      <w:r w:rsidRPr="00CD63B0">
        <w:rPr>
          <w:bCs/>
          <w:i/>
        </w:rPr>
        <w:t>М</w:t>
      </w:r>
      <w:r w:rsidRPr="00CD63B0">
        <w:rPr>
          <w:bCs/>
          <w:i/>
          <w:vertAlign w:val="subscript"/>
        </w:rPr>
        <w:t>i</w:t>
      </w:r>
      <w:proofErr w:type="spellEnd"/>
      <w:r w:rsidRPr="00CD63B0">
        <w:rPr>
          <w:bCs/>
        </w:rPr>
        <w:t xml:space="preserve"> и </w:t>
      </w:r>
      <w:r w:rsidRPr="00CD63B0">
        <w:rPr>
          <w:bCs/>
          <w:i/>
          <w:lang w:val="en-US"/>
        </w:rPr>
        <w:t>L</w:t>
      </w:r>
      <w:r w:rsidRPr="00CD63B0">
        <w:rPr>
          <w:bCs/>
          <w:i/>
          <w:vertAlign w:val="subscript"/>
          <w:lang w:val="en-US"/>
        </w:rPr>
        <w:t>i</w:t>
      </w:r>
      <w:r w:rsidRPr="00CD63B0">
        <w:rPr>
          <w:bCs/>
          <w:i/>
          <w:vertAlign w:val="subscript"/>
        </w:rPr>
        <w:t xml:space="preserve"> </w:t>
      </w:r>
      <w:r w:rsidRPr="00CD63B0">
        <w:rPr>
          <w:bCs/>
        </w:rPr>
        <w:t>- соответственно число разрушенных клеток и размер системы в единицах размера пик</w:t>
      </w:r>
      <w:r w:rsidRPr="00CD63B0">
        <w:rPr>
          <w:bCs/>
        </w:rPr>
        <w:softHyphen/>
        <w:t xml:space="preserve">селов, используемых при </w:t>
      </w:r>
      <w:r w:rsidRPr="00CD63B0">
        <w:rPr>
          <w:bCs/>
          <w:i/>
        </w:rPr>
        <w:t>i</w:t>
      </w:r>
      <w:r w:rsidRPr="00CD63B0">
        <w:rPr>
          <w:bCs/>
        </w:rPr>
        <w:t>-итерации.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При оценке фрактальной размерности разло</w:t>
      </w:r>
      <w:r w:rsidRPr="00CD63B0">
        <w:rPr>
          <w:bCs/>
        </w:rPr>
        <w:softHyphen/>
        <w:t>мов разрушенным считался пиксел, две стороны которого пересекались разломом. Результаты приведены на рис. 3. Более сложной оказалась си</w:t>
      </w:r>
      <w:r w:rsidRPr="00CD63B0">
        <w:rPr>
          <w:bCs/>
        </w:rPr>
        <w:softHyphen/>
        <w:t>туация при обработке материалов по пространст</w:t>
      </w:r>
      <w:r w:rsidRPr="00CD63B0">
        <w:rPr>
          <w:bCs/>
        </w:rPr>
        <w:softHyphen/>
        <w:t>венному распределению эпицентров.</w:t>
      </w:r>
    </w:p>
    <w:p w:rsid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Очаги землетрясений представляют собой сложные неоднородные, неравноценные, с изме</w:t>
      </w:r>
      <w:r w:rsidRPr="00CD63B0">
        <w:rPr>
          <w:bCs/>
        </w:rPr>
        <w:softHyphen/>
        <w:t>няющимися признаками и параметрами области (пространства) в литосфере. Одними из главных и значимых их параметров с изменяющимися при</w:t>
      </w:r>
      <w:r w:rsidRPr="00CD63B0">
        <w:rPr>
          <w:bCs/>
        </w:rPr>
        <w:softHyphen/>
        <w:t xml:space="preserve">знаками являются магнитуды и, следовательно, размеры самой области очага. При фрактальном анализе вероятность попадания </w:t>
      </w:r>
      <w:proofErr w:type="spellStart"/>
      <w:r w:rsidR="002F45B8" w:rsidRPr="002F45B8">
        <w:rPr>
          <w:bCs/>
          <w:i/>
          <w:lang w:val="en-US"/>
        </w:rPr>
        <w:t>i</w:t>
      </w:r>
      <w:proofErr w:type="spellEnd"/>
      <w:r w:rsidRPr="00CD63B0">
        <w:rPr>
          <w:bCs/>
        </w:rPr>
        <w:t>-го очага в пик</w:t>
      </w:r>
      <w:r w:rsidRPr="00CD63B0">
        <w:rPr>
          <w:bCs/>
        </w:rPr>
        <w:softHyphen/>
        <w:t>сел и его “разрушение” будут зависеть от разме</w:t>
      </w:r>
      <w:r w:rsidRPr="00CD63B0">
        <w:rPr>
          <w:bCs/>
        </w:rPr>
        <w:softHyphen/>
        <w:t>ров области очага. Центр очага может не попасть в границы пиксела, но область очага, при боль</w:t>
      </w:r>
      <w:r w:rsidRPr="00CD63B0">
        <w:rPr>
          <w:bCs/>
        </w:rPr>
        <w:softHyphen/>
        <w:t>ших амплитудах, может даже перекрыть пиксел. И, наоборот, в случаях малых магнитуд центр очага может быть в границах пиксела, но не пол</w:t>
      </w:r>
      <w:r w:rsidRPr="00CD63B0">
        <w:rPr>
          <w:bCs/>
        </w:rPr>
        <w:softHyphen/>
        <w:t>ностью охватывать его площадь. Можно предло</w:t>
      </w:r>
      <w:r w:rsidRPr="00CD63B0">
        <w:rPr>
          <w:bCs/>
        </w:rPr>
        <w:softHyphen/>
        <w:t>жить разные способы решения этого вопроса.</w:t>
      </w:r>
    </w:p>
    <w:p w:rsidR="002F45B8" w:rsidRDefault="002F45B8" w:rsidP="002F45B8">
      <w:pPr>
        <w:ind w:firstLine="709"/>
        <w:jc w:val="both"/>
        <w:rPr>
          <w:bCs/>
        </w:rPr>
      </w:pPr>
    </w:p>
    <w:p w:rsidR="002F45B8" w:rsidRDefault="002F2233" w:rsidP="002F2233">
      <w:pPr>
        <w:jc w:val="both"/>
        <w:rPr>
          <w:bCs/>
        </w:rPr>
      </w:pPr>
      <w:r w:rsidRPr="002F2233">
        <w:rPr>
          <w:bCs/>
          <w:noProof/>
        </w:rPr>
        <w:lastRenderedPageBreak/>
        <w:drawing>
          <wp:inline distT="0" distB="0" distL="0" distR="0">
            <wp:extent cx="6120130" cy="4332742"/>
            <wp:effectExtent l="0" t="0" r="0" b="0"/>
            <wp:docPr id="1" name="Рисунок 1" descr="D:\18НАУЧНАЯ РАБОТА\01СТАТЬИ\2017\ТРУДЫ\КНИГА\ТЕМА 3\Рисунки Обраб\[234] ДАН, 1998, Т.361, №5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3\Рисунки Обраб\[234] ДАН, 1998, Т.361, №5, рис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B8" w:rsidRPr="002F45B8" w:rsidRDefault="002F45B8" w:rsidP="002F45B8">
      <w:pPr>
        <w:ind w:firstLine="709"/>
        <w:jc w:val="both"/>
        <w:rPr>
          <w:bCs/>
        </w:rPr>
      </w:pPr>
      <w:r>
        <w:rPr>
          <w:bCs/>
        </w:rPr>
        <w:t xml:space="preserve">Рис. 1. Принципиальная схема разломов Байкальской рифтовой зоны. Составили С.И. </w:t>
      </w:r>
      <w:proofErr w:type="spellStart"/>
      <w:r>
        <w:rPr>
          <w:bCs/>
        </w:rPr>
        <w:t>Шерман</w:t>
      </w:r>
      <w:proofErr w:type="spellEnd"/>
      <w:r>
        <w:rPr>
          <w:bCs/>
        </w:rPr>
        <w:t>, А.С. Гладков по материалам государственной геологической съемки масштаба 1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200 000. Условные обозначения: 1 – генеральные (глубинные) разломы; 2 – региональные и локальные разломы; 3 – п</w:t>
      </w:r>
      <w:r w:rsidR="00790588">
        <w:rPr>
          <w:bCs/>
        </w:rPr>
        <w:t>лощади, в пределах которых произ</w:t>
      </w:r>
      <w:r>
        <w:rPr>
          <w:bCs/>
        </w:rPr>
        <w:t>водилось определение фрактальных размерностей сети разломов (1 – ЮЗ-фланг, 2 – центральная часть, 3 – СВ-фланг); 4 – площади, исключенные из фрактального анализа.</w:t>
      </w:r>
    </w:p>
    <w:p w:rsidR="002F45B8" w:rsidRPr="00CD63B0" w:rsidRDefault="002F45B8" w:rsidP="002F45B8">
      <w:pPr>
        <w:ind w:firstLine="709"/>
        <w:jc w:val="both"/>
        <w:rPr>
          <w:bCs/>
        </w:rPr>
      </w:pP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На наш взгляд, более корректно пространствен</w:t>
      </w:r>
      <w:r w:rsidRPr="00CD63B0">
        <w:rPr>
          <w:bCs/>
        </w:rPr>
        <w:softHyphen/>
        <w:t>ная структура сейсмичности может быть описана фрактальной размерностью, если использовать размеры очаговой зоны эпицентров, попадающих в границы пикселов. При этом разрушенным пиксе</w:t>
      </w:r>
      <w:r w:rsidRPr="00CD63B0">
        <w:rPr>
          <w:bCs/>
        </w:rPr>
        <w:softHyphen/>
        <w:t xml:space="preserve">лом следует считать тот, у которого более 1 </w:t>
      </w:r>
      <w:r w:rsidRPr="00CD63B0">
        <w:rPr>
          <w:bCs/>
          <w:i/>
          <w:iCs/>
        </w:rPr>
        <w:t>%</w:t>
      </w:r>
      <w:r w:rsidRPr="00CD63B0">
        <w:rPr>
          <w:bCs/>
        </w:rPr>
        <w:t xml:space="preserve"> пло</w:t>
      </w:r>
      <w:r w:rsidRPr="00CD63B0">
        <w:rPr>
          <w:bCs/>
        </w:rPr>
        <w:softHyphen/>
        <w:t>щади занято разрушенными очаговыми прост</w:t>
      </w:r>
      <w:r w:rsidRPr="00CD63B0">
        <w:rPr>
          <w:bCs/>
        </w:rPr>
        <w:softHyphen/>
        <w:t>ранствами, радиусы которых рассчитываются по Ю.В. Ризниченко [10]. Условия, позволяющие пиксел считать разрушенным, можно менять, что нами и проделывалось в работе. Однако этот при</w:t>
      </w:r>
      <w:r w:rsidRPr="00CD63B0">
        <w:rPr>
          <w:bCs/>
        </w:rPr>
        <w:softHyphen/>
        <w:t>ем не оказал существенного влияния на конеч</w:t>
      </w:r>
      <w:r w:rsidRPr="00CD63B0">
        <w:rPr>
          <w:bCs/>
        </w:rPr>
        <w:softHyphen/>
        <w:t>ный результат при его расчете в целом по регио</w:t>
      </w:r>
      <w:r w:rsidRPr="00CD63B0">
        <w:rPr>
          <w:bCs/>
        </w:rPr>
        <w:softHyphen/>
        <w:t>ну, но привел к некоторым вариациям сравнивае</w:t>
      </w:r>
      <w:r w:rsidRPr="00CD63B0">
        <w:rPr>
          <w:bCs/>
        </w:rPr>
        <w:softHyphen/>
        <w:t>мых фрактальных размерностей при их оценке по отдельным локальным участкам. Практически наи</w:t>
      </w:r>
      <w:r w:rsidRPr="00CD63B0">
        <w:rPr>
          <w:bCs/>
        </w:rPr>
        <w:softHyphen/>
        <w:t>более приемлемой оказалась величина суммарной площади очага в 0.01 площади пиксела. На рис. 3 значения фрактальной размерности приведены по результатам такого способа расчета.</w:t>
      </w:r>
    </w:p>
    <w:p w:rsid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Фрактальные размерности сетки разломов в БРЗ и сейсмичности равны по значениям (рис. 3). Это означает, что пространственные структуры сетки разломов и эпицентрального поля земле</w:t>
      </w:r>
      <w:r w:rsidRPr="00CD63B0">
        <w:rPr>
          <w:bCs/>
        </w:rPr>
        <w:softHyphen/>
        <w:t>трясений идентичны. Сейсмический процесс в БРЗ во всем объеме выборки от слабых до силь</w:t>
      </w:r>
      <w:r w:rsidRPr="00CD63B0">
        <w:rPr>
          <w:bCs/>
        </w:rPr>
        <w:softHyphen/>
        <w:t xml:space="preserve">ных (редкие события) землетрясений </w:t>
      </w:r>
      <w:proofErr w:type="spellStart"/>
      <w:r w:rsidRPr="00CD63B0">
        <w:rPr>
          <w:bCs/>
        </w:rPr>
        <w:t>пространст</w:t>
      </w:r>
      <w:r w:rsidRPr="00CD63B0">
        <w:rPr>
          <w:bCs/>
        </w:rPr>
        <w:softHyphen/>
        <w:t>венно</w:t>
      </w:r>
      <w:proofErr w:type="spellEnd"/>
      <w:r w:rsidRPr="00CD63B0">
        <w:rPr>
          <w:bCs/>
        </w:rPr>
        <w:t xml:space="preserve"> контролируется разломной тектоникой. Оба процесса, связанные причинно-следственной зависимостью, находятся в целом в сбалансирован</w:t>
      </w:r>
      <w:r w:rsidRPr="00CD63B0">
        <w:rPr>
          <w:bCs/>
        </w:rPr>
        <w:softHyphen/>
        <w:t xml:space="preserve">ном и, следуя терминологии А.В. Солоненко [8], сформировавшемся состоянии. Для современного геодинамического режима БРЗ ее сеть разломов и их активизация как </w:t>
      </w:r>
      <w:proofErr w:type="spellStart"/>
      <w:r w:rsidRPr="00CD63B0">
        <w:rPr>
          <w:bCs/>
        </w:rPr>
        <w:t>разломообразовательный</w:t>
      </w:r>
      <w:proofErr w:type="spellEnd"/>
      <w:r w:rsidRPr="00CD63B0">
        <w:rPr>
          <w:bCs/>
        </w:rPr>
        <w:t xml:space="preserve"> про</w:t>
      </w:r>
      <w:r w:rsidRPr="00CD63B0">
        <w:rPr>
          <w:bCs/>
        </w:rPr>
        <w:softHyphen/>
        <w:t>цесс, с одной стороны, и сейсмический процесс, с другой, стабилизированы и находятся в относитель</w:t>
      </w:r>
      <w:r w:rsidRPr="00CD63B0">
        <w:rPr>
          <w:bCs/>
        </w:rPr>
        <w:softHyphen/>
        <w:t>ном динамическом равновесии.</w:t>
      </w:r>
    </w:p>
    <w:p w:rsidR="002F45B8" w:rsidRDefault="002F45B8" w:rsidP="002F45B8">
      <w:pPr>
        <w:ind w:firstLine="709"/>
        <w:jc w:val="both"/>
        <w:rPr>
          <w:bCs/>
        </w:rPr>
      </w:pPr>
    </w:p>
    <w:p w:rsidR="002F45B8" w:rsidRDefault="002F2233" w:rsidP="002F2233">
      <w:pPr>
        <w:jc w:val="both"/>
        <w:rPr>
          <w:bCs/>
        </w:rPr>
      </w:pPr>
      <w:r w:rsidRPr="002F2233">
        <w:rPr>
          <w:bCs/>
          <w:noProof/>
        </w:rPr>
        <w:drawing>
          <wp:inline distT="0" distB="0" distL="0" distR="0">
            <wp:extent cx="6120130" cy="4207805"/>
            <wp:effectExtent l="0" t="0" r="0" b="2540"/>
            <wp:docPr id="2" name="Рисунок 2" descr="D:\18НАУЧНАЯ РАБОТА\01СТАТЬИ\2017\ТРУДЫ\КНИГА\ТЕМА 3\Рисунки Обраб\[234] ДАН, 1998, Т.361, №5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8НАУЧНАЯ РАБОТА\01СТАТЬИ\2017\ТРУДЫ\КНИГА\ТЕМА 3\Рисунки Обраб\[234] ДАН, 1998, Т.361, №5, рис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33" w:rsidRDefault="002F2233" w:rsidP="002F2233">
      <w:pPr>
        <w:jc w:val="both"/>
        <w:rPr>
          <w:bCs/>
        </w:rPr>
      </w:pPr>
    </w:p>
    <w:p w:rsidR="002F45B8" w:rsidRDefault="002F45B8" w:rsidP="002F45B8">
      <w:pPr>
        <w:ind w:firstLine="709"/>
        <w:jc w:val="both"/>
        <w:rPr>
          <w:bCs/>
        </w:rPr>
      </w:pPr>
      <w:r>
        <w:rPr>
          <w:bCs/>
        </w:rPr>
        <w:t>Рис. 2. Поле эпицентров землетрясений Байкальской рифтовой зоны (1960-1991 гг.). Использован каталог землетрясений БРЗ, составленный в Институте земной коры СО РАН. Условные обозначения: 1 – эпицентра землетрясений; 2 – площади дополнительной оценки фрактальной размерности (1 – ЮЗ-фланг, 2 – центральная часть, 3 – СВ-фланг).</w:t>
      </w:r>
    </w:p>
    <w:p w:rsidR="002F45B8" w:rsidRDefault="002F45B8" w:rsidP="002F45B8">
      <w:pPr>
        <w:ind w:firstLine="709"/>
        <w:jc w:val="both"/>
        <w:rPr>
          <w:bCs/>
        </w:rPr>
      </w:pPr>
    </w:p>
    <w:p w:rsidR="002F45B8" w:rsidRDefault="002F2233" w:rsidP="002F45B8">
      <w:pPr>
        <w:jc w:val="both"/>
        <w:rPr>
          <w:bCs/>
        </w:rPr>
      </w:pPr>
      <w:r w:rsidRPr="002F2233">
        <w:rPr>
          <w:bCs/>
          <w:noProof/>
        </w:rPr>
        <w:drawing>
          <wp:inline distT="0" distB="0" distL="0" distR="0">
            <wp:extent cx="6120130" cy="2019981"/>
            <wp:effectExtent l="0" t="0" r="0" b="0"/>
            <wp:docPr id="3" name="Рисунок 3" descr="D:\18НАУЧНАЯ РАБОТА\01СТАТЬИ\2017\ТРУДЫ\КНИГА\ТЕМА 3\Рисунки Обраб\[234] ДАН, 1998, Т.361, №5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3\Рисунки Обраб\[234] ДАН, 1998, Т.361, №5, рис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B8" w:rsidRDefault="002F45B8" w:rsidP="002F45B8">
      <w:pPr>
        <w:jc w:val="both"/>
        <w:rPr>
          <w:bCs/>
        </w:rPr>
      </w:pPr>
    </w:p>
    <w:p w:rsidR="002F45B8" w:rsidRDefault="002F45B8" w:rsidP="002F45B8">
      <w:pPr>
        <w:ind w:firstLine="709"/>
        <w:jc w:val="both"/>
        <w:rPr>
          <w:bCs/>
        </w:rPr>
      </w:pPr>
      <w:r>
        <w:rPr>
          <w:bCs/>
        </w:rPr>
        <w:t xml:space="preserve">Рис. 3. Фрактальная размерность разломов и </w:t>
      </w:r>
      <w:proofErr w:type="spellStart"/>
      <w:r>
        <w:rPr>
          <w:bCs/>
        </w:rPr>
        <w:t>сеймичности</w:t>
      </w:r>
      <w:proofErr w:type="spellEnd"/>
      <w:r>
        <w:rPr>
          <w:bCs/>
        </w:rPr>
        <w:t xml:space="preserve"> (</w:t>
      </w:r>
      <w:proofErr w:type="spellStart"/>
      <w:r w:rsidRPr="002F45B8">
        <w:rPr>
          <w:bCs/>
          <w:i/>
          <w:lang w:val="en-US"/>
        </w:rPr>
        <w:t>D</w:t>
      </w:r>
      <w:r w:rsidRPr="002F45B8">
        <w:rPr>
          <w:bCs/>
          <w:i/>
          <w:vertAlign w:val="subscript"/>
          <w:lang w:val="en-US"/>
        </w:rPr>
        <w:t>p</w:t>
      </w:r>
      <w:proofErr w:type="spellEnd"/>
      <w:r w:rsidRPr="002F45B8">
        <w:rPr>
          <w:bCs/>
        </w:rPr>
        <w:t xml:space="preserve"> </w:t>
      </w:r>
      <w:r>
        <w:rPr>
          <w:bCs/>
        </w:rPr>
        <w:t xml:space="preserve">и </w:t>
      </w:r>
      <w:r w:rsidRPr="002F45B8">
        <w:rPr>
          <w:bCs/>
          <w:i/>
          <w:lang w:val="en-US"/>
        </w:rPr>
        <w:t>D</w:t>
      </w:r>
      <w:r w:rsidRPr="002F45B8">
        <w:rPr>
          <w:bCs/>
          <w:i/>
          <w:vertAlign w:val="subscript"/>
          <w:lang w:val="en-US"/>
        </w:rPr>
        <w:t>c</w:t>
      </w:r>
      <w:r>
        <w:rPr>
          <w:bCs/>
        </w:rPr>
        <w:t>)</w:t>
      </w:r>
      <w:r w:rsidRPr="002F45B8">
        <w:rPr>
          <w:bCs/>
        </w:rPr>
        <w:t xml:space="preserve"> </w:t>
      </w:r>
      <w:r>
        <w:rPr>
          <w:bCs/>
        </w:rPr>
        <w:t xml:space="preserve">Байкальской </w:t>
      </w:r>
      <w:proofErr w:type="spellStart"/>
      <w:r>
        <w:rPr>
          <w:bCs/>
        </w:rPr>
        <w:t>рифтовой</w:t>
      </w:r>
      <w:proofErr w:type="spellEnd"/>
      <w:r>
        <w:rPr>
          <w:bCs/>
        </w:rPr>
        <w:t xml:space="preserve"> зоны. 1 – для всей Байкальской рифтовой зоны; 2 – для ЮЗ-фланга; 3 – для центральной части; 4 – для СВ-фланга.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Принимая во внимание различия в напряжен</w:t>
      </w:r>
      <w:r w:rsidRPr="00CD63B0">
        <w:rPr>
          <w:bCs/>
        </w:rPr>
        <w:softHyphen/>
        <w:t>ном состояния земной коры на разных участках БРЗ, мы дополнительно провели расчет фрак</w:t>
      </w:r>
      <w:r w:rsidRPr="00CD63B0">
        <w:rPr>
          <w:bCs/>
        </w:rPr>
        <w:softHyphen/>
        <w:t>тальной размерности для трех крупных сегмен</w:t>
      </w:r>
      <w:r w:rsidRPr="00CD63B0">
        <w:rPr>
          <w:bCs/>
        </w:rPr>
        <w:softHyphen/>
        <w:t>тов БРЗ: ее юго-западного и северо-восточного флангов, для которых типично сочетание напря</w:t>
      </w:r>
      <w:r w:rsidRPr="00CD63B0">
        <w:rPr>
          <w:bCs/>
        </w:rPr>
        <w:softHyphen/>
        <w:t>жений сдвига с растяжением (</w:t>
      </w:r>
      <w:r w:rsidRPr="00CD63B0">
        <w:rPr>
          <w:bCs/>
          <w:lang w:val="en-US"/>
        </w:rPr>
        <w:t>pull</w:t>
      </w:r>
      <w:r w:rsidRPr="00CD63B0">
        <w:rPr>
          <w:bCs/>
        </w:rPr>
        <w:t>-</w:t>
      </w:r>
      <w:r w:rsidRPr="00CD63B0">
        <w:rPr>
          <w:bCs/>
          <w:lang w:val="en-US"/>
        </w:rPr>
        <w:t>apart</w:t>
      </w:r>
      <w:r w:rsidRPr="00CD63B0">
        <w:rPr>
          <w:bCs/>
        </w:rPr>
        <w:t xml:space="preserve"> структу</w:t>
      </w:r>
      <w:r w:rsidRPr="00CD63B0">
        <w:rPr>
          <w:bCs/>
        </w:rPr>
        <w:softHyphen/>
        <w:t>ры), и центральной части, характеризующейся обстановкой растяжения [9].</w:t>
      </w:r>
    </w:p>
    <w:p w:rsidR="002F45B8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lastRenderedPageBreak/>
        <w:t>Фрактальные размерности разломной сети и сейсмичности разнятся на флангах БРЗ. Они ниже по абсолютному значению для поля эпицентров, причем на ЮЗ-фланге разность по абсолютному значению фрактальных размерностей больше, чем на СВ-фланге. Следовательно, рассматриваемые процессы не сбалансированы на флангах. Не завер</w:t>
      </w:r>
      <w:r w:rsidRPr="00CD63B0">
        <w:rPr>
          <w:bCs/>
        </w:rPr>
        <w:softHyphen/>
        <w:t>шенное, не сбалансированное пространственное формирование полей эпицентров на флангах БРЗ по отношению к разломной тектонике может быть объяснено двумя причинами.</w:t>
      </w:r>
    </w:p>
    <w:p w:rsidR="00CD63B0" w:rsidRPr="00CD63B0" w:rsidRDefault="002F45B8" w:rsidP="002F45B8">
      <w:pPr>
        <w:ind w:firstLine="709"/>
        <w:jc w:val="both"/>
        <w:rPr>
          <w:bCs/>
        </w:rPr>
      </w:pPr>
      <w:r>
        <w:rPr>
          <w:bCs/>
        </w:rPr>
        <w:t xml:space="preserve">1) </w:t>
      </w:r>
      <w:r w:rsidR="00CD63B0" w:rsidRPr="00CD63B0">
        <w:rPr>
          <w:bCs/>
        </w:rPr>
        <w:t>Различия во фрактальных размерностях разломной тектоники на флангах и в центральной части БРЗ наиболее вероятно вызваны разными типами превалирующих полей напряжений; в цент</w:t>
      </w:r>
      <w:r w:rsidR="00CD63B0" w:rsidRPr="00CD63B0">
        <w:rPr>
          <w:bCs/>
        </w:rPr>
        <w:softHyphen/>
        <w:t xml:space="preserve">ре БРЗ преобладает растяжение, на флангах - </w:t>
      </w:r>
      <w:proofErr w:type="spellStart"/>
      <w:r w:rsidR="00CD63B0" w:rsidRPr="00CD63B0">
        <w:rPr>
          <w:bCs/>
        </w:rPr>
        <w:t>раздвиго</w:t>
      </w:r>
      <w:proofErr w:type="spellEnd"/>
      <w:r w:rsidR="00CD63B0" w:rsidRPr="00CD63B0">
        <w:rPr>
          <w:bCs/>
        </w:rPr>
        <w:t>-сдвиговые поля напряжений [9].</w:t>
      </w:r>
    </w:p>
    <w:p w:rsidR="00CD63B0" w:rsidRPr="002F45B8" w:rsidRDefault="002F45B8" w:rsidP="002F45B8">
      <w:pPr>
        <w:ind w:firstLine="709"/>
        <w:jc w:val="both"/>
        <w:rPr>
          <w:bCs/>
        </w:rPr>
      </w:pPr>
      <w:r w:rsidRPr="002F45B8">
        <w:rPr>
          <w:bCs/>
        </w:rPr>
        <w:t>2)</w:t>
      </w:r>
      <w:r>
        <w:rPr>
          <w:bCs/>
        </w:rPr>
        <w:t xml:space="preserve"> </w:t>
      </w:r>
      <w:r w:rsidR="00CD63B0" w:rsidRPr="002F45B8">
        <w:rPr>
          <w:bCs/>
        </w:rPr>
        <w:t xml:space="preserve">Сеть разломов, возникающая при сдвиговых деформациях, более совершенна и закономерна, в том числе и по </w:t>
      </w:r>
      <w:proofErr w:type="spellStart"/>
      <w:r w:rsidR="00CD63B0" w:rsidRPr="002F45B8">
        <w:rPr>
          <w:bCs/>
        </w:rPr>
        <w:t>самоподобию</w:t>
      </w:r>
      <w:proofErr w:type="spellEnd"/>
      <w:r w:rsidR="00CD63B0" w:rsidRPr="002F45B8">
        <w:rPr>
          <w:bCs/>
        </w:rPr>
        <w:t xml:space="preserve"> в широком диапа</w:t>
      </w:r>
      <w:r w:rsidR="00CD63B0" w:rsidRPr="002F45B8">
        <w:rPr>
          <w:bCs/>
        </w:rPr>
        <w:softHyphen/>
        <w:t>зоне размеров, по сравнению с разрывами, возника</w:t>
      </w:r>
      <w:r w:rsidR="00CD63B0" w:rsidRPr="002F45B8">
        <w:rPr>
          <w:bCs/>
        </w:rPr>
        <w:softHyphen/>
        <w:t>ющими при растяжении. Последние, из-за низкой прочности горных пород на растяжение по сравне</w:t>
      </w:r>
      <w:r w:rsidR="00CD63B0" w:rsidRPr="002F45B8">
        <w:rPr>
          <w:bCs/>
        </w:rPr>
        <w:softHyphen/>
        <w:t xml:space="preserve">нию с другими видами </w:t>
      </w:r>
      <w:proofErr w:type="spellStart"/>
      <w:r w:rsidR="00CD63B0" w:rsidRPr="002F45B8">
        <w:rPr>
          <w:bCs/>
        </w:rPr>
        <w:t>нагружения</w:t>
      </w:r>
      <w:proofErr w:type="spellEnd"/>
      <w:r w:rsidR="00CD63B0" w:rsidRPr="002F45B8">
        <w:rPr>
          <w:bCs/>
        </w:rPr>
        <w:t>, не позволяют сохранить идеальное подобие в закономерности разломной сети. Более высокая фрактальная раз</w:t>
      </w:r>
      <w:r w:rsidR="00CD63B0" w:rsidRPr="002F45B8">
        <w:rPr>
          <w:bCs/>
        </w:rPr>
        <w:softHyphen/>
        <w:t>мерность СВ-фланга БРЗ по отношению к ЮЗ объясняется теми же причинами: сдвиговый ха</w:t>
      </w:r>
      <w:r w:rsidR="00CD63B0" w:rsidRPr="002F45B8">
        <w:rPr>
          <w:bCs/>
        </w:rPr>
        <w:softHyphen/>
        <w:t>рактер движений на СВ-фланге выражен лучше и имеет большую амплитуду левостороннего сме</w:t>
      </w:r>
      <w:r w:rsidR="00CD63B0" w:rsidRPr="002F45B8">
        <w:rPr>
          <w:bCs/>
        </w:rPr>
        <w:softHyphen/>
        <w:t>щения по сравнению с ЮЗ.</w:t>
      </w:r>
    </w:p>
    <w:p w:rsidR="002F45B8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Таким образом, процесс структуризации раз</w:t>
      </w:r>
      <w:r w:rsidRPr="00CD63B0">
        <w:rPr>
          <w:bCs/>
        </w:rPr>
        <w:softHyphen/>
        <w:t>ломов и сейсмичности на настоящем этапе геодинамического развития завершен в целом для БРЗ, но продолжается в ее отдельных сегментах. Более низкие значения фрактальных размерностей сейс</w:t>
      </w:r>
      <w:r w:rsidRPr="00CD63B0">
        <w:rPr>
          <w:bCs/>
        </w:rPr>
        <w:softHyphen/>
        <w:t>мичности по отношению к сети разломов свиде</w:t>
      </w:r>
      <w:r w:rsidRPr="00CD63B0">
        <w:rPr>
          <w:bCs/>
        </w:rPr>
        <w:softHyphen/>
        <w:t>тельствуют о незавершенности пространственной структуризации полей эпицентров землетрясений на флангах и некоторых других локальных участ</w:t>
      </w:r>
      <w:r w:rsidRPr="00CD63B0">
        <w:rPr>
          <w:bCs/>
        </w:rPr>
        <w:softHyphen/>
        <w:t>ках БРЗ. Это обстоятельство необходимо учиты</w:t>
      </w:r>
      <w:r w:rsidRPr="00CD63B0">
        <w:rPr>
          <w:bCs/>
        </w:rPr>
        <w:softHyphen/>
        <w:t>вать как один из факторов при долгосрочном прогнозе сейсмичности.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 xml:space="preserve">Авторы благодарят В.Ф. Писаренко и Ю.С. </w:t>
      </w:r>
      <w:proofErr w:type="spellStart"/>
      <w:r w:rsidRPr="00CD63B0">
        <w:rPr>
          <w:bCs/>
        </w:rPr>
        <w:t>Куснера</w:t>
      </w:r>
      <w:proofErr w:type="spellEnd"/>
      <w:r w:rsidRPr="00CD63B0">
        <w:rPr>
          <w:bCs/>
        </w:rPr>
        <w:t xml:space="preserve"> за обсуждение статьи при подготовке ее к печати.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Работа выполнена при поддержке Российско</w:t>
      </w:r>
      <w:r w:rsidRPr="00CD63B0">
        <w:rPr>
          <w:bCs/>
        </w:rPr>
        <w:softHyphen/>
        <w:t>го фонда фундаментальных исследований, проек</w:t>
      </w:r>
      <w:r w:rsidRPr="00CD63B0">
        <w:rPr>
          <w:bCs/>
        </w:rPr>
        <w:softHyphen/>
        <w:t>ты 95-05-14211 и 97-05-96357.</w:t>
      </w:r>
    </w:p>
    <w:p w:rsidR="00CD63B0" w:rsidRPr="00CD63B0" w:rsidRDefault="00CD63B0" w:rsidP="002F45B8">
      <w:pPr>
        <w:ind w:firstLine="709"/>
        <w:jc w:val="both"/>
        <w:rPr>
          <w:bCs/>
        </w:rPr>
      </w:pPr>
    </w:p>
    <w:p w:rsidR="00CD63B0" w:rsidRPr="00CD63B0" w:rsidRDefault="002F45B8" w:rsidP="002F45B8">
      <w:pPr>
        <w:ind w:firstLine="709"/>
        <w:jc w:val="center"/>
        <w:rPr>
          <w:bCs/>
        </w:rPr>
      </w:pPr>
      <w:r w:rsidRPr="002F45B8">
        <w:rPr>
          <w:b/>
          <w:bCs/>
        </w:rPr>
        <w:t>ЛИТЕРАТУРА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  <w:lang w:val="en-US"/>
        </w:rPr>
      </w:pPr>
      <w:r w:rsidRPr="0068283B">
        <w:rPr>
          <w:bCs/>
          <w:iCs/>
          <w:lang w:val="en-US"/>
        </w:rPr>
        <w:t xml:space="preserve">Mandelbrot </w:t>
      </w:r>
      <w:r w:rsidRPr="0068283B">
        <w:rPr>
          <w:bCs/>
          <w:iCs/>
        </w:rPr>
        <w:t>В</w:t>
      </w:r>
      <w:r w:rsidRPr="0068283B">
        <w:rPr>
          <w:bCs/>
          <w:iCs/>
          <w:lang w:val="en-US"/>
        </w:rPr>
        <w:t>.</w:t>
      </w:r>
      <w:r w:rsidRPr="0068283B">
        <w:rPr>
          <w:bCs/>
          <w:iCs/>
        </w:rPr>
        <w:t>В</w:t>
      </w:r>
      <w:r w:rsidRPr="0068283B">
        <w:rPr>
          <w:bCs/>
          <w:iCs/>
          <w:lang w:val="en-US"/>
        </w:rPr>
        <w:t>.</w:t>
      </w:r>
      <w:r w:rsidRPr="0068283B">
        <w:rPr>
          <w:bCs/>
          <w:lang w:val="en-US"/>
        </w:rPr>
        <w:t xml:space="preserve"> The Fractal Geometry of Nature. N. Y.: 1982. 121 p.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Гзовский</w:t>
      </w:r>
      <w:proofErr w:type="spellEnd"/>
      <w:r w:rsidRPr="0068283B">
        <w:rPr>
          <w:bCs/>
          <w:iCs/>
        </w:rPr>
        <w:t xml:space="preserve"> </w:t>
      </w:r>
      <w:r w:rsidRPr="0068283B">
        <w:rPr>
          <w:bCs/>
          <w:iCs/>
          <w:lang w:val="en-US"/>
        </w:rPr>
        <w:t>M</w:t>
      </w:r>
      <w:r w:rsidRPr="0068283B">
        <w:rPr>
          <w:bCs/>
          <w:iCs/>
        </w:rPr>
        <w:t>.</w:t>
      </w:r>
      <w:r w:rsidRPr="0068283B">
        <w:rPr>
          <w:bCs/>
          <w:iCs/>
          <w:lang w:val="en-US"/>
        </w:rPr>
        <w:t>B</w:t>
      </w:r>
      <w:r w:rsidRPr="0068283B">
        <w:rPr>
          <w:bCs/>
          <w:iCs/>
        </w:rPr>
        <w:t>.</w:t>
      </w:r>
      <w:r w:rsidRPr="0068283B">
        <w:rPr>
          <w:bCs/>
        </w:rPr>
        <w:t xml:space="preserve"> Математика в геотектонике. М.: Недра, 1971. 240 с.</w:t>
      </w:r>
    </w:p>
    <w:p w:rsidR="00CD63B0" w:rsidRPr="0068283B" w:rsidRDefault="00CD63B0" w:rsidP="002059A1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Шерман</w:t>
      </w:r>
      <w:proofErr w:type="spellEnd"/>
      <w:r w:rsidRPr="0068283B">
        <w:rPr>
          <w:bCs/>
          <w:iCs/>
        </w:rPr>
        <w:t xml:space="preserve"> С.И.</w:t>
      </w:r>
      <w:r w:rsidRPr="0068283B">
        <w:rPr>
          <w:bCs/>
        </w:rPr>
        <w:t xml:space="preserve"> Физические закономерности разви</w:t>
      </w:r>
      <w:r w:rsidRPr="0068283B">
        <w:rPr>
          <w:bCs/>
        </w:rPr>
        <w:softHyphen/>
        <w:t>тия разломов земной коры. Новосибирск: Наука,</w:t>
      </w:r>
      <w:r w:rsidR="0068283B">
        <w:rPr>
          <w:bCs/>
        </w:rPr>
        <w:t xml:space="preserve"> </w:t>
      </w:r>
      <w:r w:rsidRPr="0068283B">
        <w:rPr>
          <w:bCs/>
        </w:rPr>
        <w:t>1977. 102 с.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Горя</w:t>
      </w:r>
      <w:r w:rsidR="0068283B">
        <w:rPr>
          <w:bCs/>
          <w:iCs/>
        </w:rPr>
        <w:t>и</w:t>
      </w:r>
      <w:r w:rsidRPr="0068283B">
        <w:rPr>
          <w:bCs/>
          <w:iCs/>
        </w:rPr>
        <w:t>нов</w:t>
      </w:r>
      <w:proofErr w:type="spellEnd"/>
      <w:r w:rsidRPr="0068283B">
        <w:rPr>
          <w:bCs/>
          <w:iCs/>
        </w:rPr>
        <w:t xml:space="preserve"> И.Н., </w:t>
      </w:r>
      <w:proofErr w:type="spellStart"/>
      <w:r w:rsidRPr="0068283B">
        <w:rPr>
          <w:bCs/>
          <w:iCs/>
        </w:rPr>
        <w:t>Грамберг</w:t>
      </w:r>
      <w:proofErr w:type="spellEnd"/>
      <w:r w:rsidRPr="0068283B">
        <w:rPr>
          <w:bCs/>
          <w:iCs/>
        </w:rPr>
        <w:t xml:space="preserve"> И.С. и др.</w:t>
      </w:r>
      <w:r w:rsidRPr="0068283B">
        <w:rPr>
          <w:bCs/>
        </w:rPr>
        <w:t xml:space="preserve"> // ДАН. 1990. Т. 315. №2. С. 446-448.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r w:rsidRPr="0068283B">
        <w:rPr>
          <w:bCs/>
          <w:iCs/>
        </w:rPr>
        <w:t>Садовский М.А., Писаренко В.Ф.</w:t>
      </w:r>
      <w:r w:rsidRPr="0068283B">
        <w:rPr>
          <w:bCs/>
        </w:rPr>
        <w:t xml:space="preserve"> Сейсмический процесс в блоковой среде. М.: Наука, 1991. 96 с.</w:t>
      </w:r>
    </w:p>
    <w:p w:rsidR="00CD63B0" w:rsidRPr="002F2233" w:rsidRDefault="00CD63B0" w:rsidP="002F45B8">
      <w:pPr>
        <w:numPr>
          <w:ilvl w:val="0"/>
          <w:numId w:val="19"/>
        </w:numPr>
        <w:ind w:left="0" w:firstLine="709"/>
        <w:jc w:val="both"/>
        <w:rPr>
          <w:bCs/>
          <w:lang w:val="en-US"/>
        </w:rPr>
      </w:pPr>
      <w:r w:rsidRPr="0068283B">
        <w:rPr>
          <w:bCs/>
          <w:iCs/>
          <w:lang w:val="en-US"/>
        </w:rPr>
        <w:t xml:space="preserve">Hirata </w:t>
      </w:r>
      <w:proofErr w:type="gramStart"/>
      <w:r w:rsidRPr="0068283B">
        <w:rPr>
          <w:bCs/>
          <w:iCs/>
        </w:rPr>
        <w:t>Т</w:t>
      </w:r>
      <w:r w:rsidR="0068283B" w:rsidRPr="0068283B">
        <w:rPr>
          <w:bCs/>
          <w:iCs/>
          <w:lang w:val="en-US"/>
        </w:rPr>
        <w:t>.,</w:t>
      </w:r>
      <w:proofErr w:type="gramEnd"/>
      <w:r w:rsidRPr="0068283B">
        <w:rPr>
          <w:bCs/>
          <w:iCs/>
          <w:lang w:val="en-US"/>
        </w:rPr>
        <w:t xml:space="preserve"> Satoh </w:t>
      </w:r>
      <w:r w:rsidRPr="0068283B">
        <w:rPr>
          <w:bCs/>
          <w:iCs/>
        </w:rPr>
        <w:t>Т</w:t>
      </w:r>
      <w:r w:rsidR="0068283B" w:rsidRPr="0068283B">
        <w:rPr>
          <w:bCs/>
          <w:iCs/>
          <w:lang w:val="en-US"/>
        </w:rPr>
        <w:t>.,</w:t>
      </w:r>
      <w:r w:rsidRPr="0068283B">
        <w:rPr>
          <w:bCs/>
          <w:iCs/>
          <w:lang w:val="en-US"/>
        </w:rPr>
        <w:t xml:space="preserve"> Ito </w:t>
      </w:r>
      <w:r w:rsidRPr="0068283B">
        <w:rPr>
          <w:bCs/>
          <w:iCs/>
        </w:rPr>
        <w:t>К</w:t>
      </w:r>
      <w:r w:rsidRPr="0068283B">
        <w:rPr>
          <w:bCs/>
          <w:iCs/>
          <w:lang w:val="en-US"/>
        </w:rPr>
        <w:t>.</w:t>
      </w:r>
      <w:r w:rsidRPr="0068283B">
        <w:rPr>
          <w:bCs/>
          <w:lang w:val="en-US"/>
        </w:rPr>
        <w:t xml:space="preserve"> // </w:t>
      </w:r>
      <w:proofErr w:type="spellStart"/>
      <w:r w:rsidRPr="0068283B">
        <w:rPr>
          <w:bCs/>
          <w:lang w:val="en-US"/>
        </w:rPr>
        <w:t>Geophys</w:t>
      </w:r>
      <w:proofErr w:type="spellEnd"/>
      <w:r w:rsidRPr="0068283B">
        <w:rPr>
          <w:bCs/>
          <w:lang w:val="en-US"/>
        </w:rPr>
        <w:t>. J</w:t>
      </w:r>
      <w:r w:rsidRPr="002D4585">
        <w:rPr>
          <w:bCs/>
          <w:lang w:val="en-US"/>
        </w:rPr>
        <w:t xml:space="preserve">. </w:t>
      </w:r>
      <w:r w:rsidRPr="0068283B">
        <w:rPr>
          <w:bCs/>
          <w:lang w:val="en-US"/>
        </w:rPr>
        <w:t>Roy</w:t>
      </w:r>
      <w:r w:rsidRPr="002D4585">
        <w:rPr>
          <w:bCs/>
          <w:lang w:val="en-US"/>
        </w:rPr>
        <w:t xml:space="preserve">. </w:t>
      </w:r>
      <w:r w:rsidRPr="0068283B">
        <w:rPr>
          <w:bCs/>
          <w:lang w:val="en-US"/>
        </w:rPr>
        <w:t>Astron</w:t>
      </w:r>
      <w:r w:rsidRPr="002D4585">
        <w:rPr>
          <w:bCs/>
          <w:lang w:val="en-US"/>
        </w:rPr>
        <w:t xml:space="preserve">. </w:t>
      </w:r>
      <w:r w:rsidRPr="0068283B">
        <w:rPr>
          <w:bCs/>
          <w:lang w:val="en-US"/>
        </w:rPr>
        <w:t>Soc</w:t>
      </w:r>
      <w:r w:rsidRPr="002D4585">
        <w:rPr>
          <w:bCs/>
          <w:lang w:val="en-US"/>
        </w:rPr>
        <w:t xml:space="preserve">. 1987. </w:t>
      </w:r>
      <w:r w:rsidRPr="0068283B">
        <w:rPr>
          <w:bCs/>
          <w:lang w:val="en-US"/>
        </w:rPr>
        <w:t>V</w:t>
      </w:r>
      <w:r w:rsidRPr="002D4585">
        <w:rPr>
          <w:bCs/>
          <w:lang w:val="en-US"/>
        </w:rPr>
        <w:t xml:space="preserve">. 90. </w:t>
      </w:r>
      <w:r w:rsidRPr="002F2233">
        <w:rPr>
          <w:bCs/>
          <w:lang w:val="en-US"/>
        </w:rPr>
        <w:t xml:space="preserve">№ 2. </w:t>
      </w:r>
      <w:r w:rsidRPr="0068283B">
        <w:rPr>
          <w:bCs/>
          <w:lang w:val="en-US"/>
        </w:rPr>
        <w:t>P</w:t>
      </w:r>
      <w:r w:rsidRPr="002F2233">
        <w:rPr>
          <w:bCs/>
          <w:lang w:val="en-US"/>
        </w:rPr>
        <w:t>. 369-377.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Стаховский</w:t>
      </w:r>
      <w:proofErr w:type="spellEnd"/>
      <w:r w:rsidRPr="0068283B">
        <w:rPr>
          <w:bCs/>
          <w:iCs/>
        </w:rPr>
        <w:t xml:space="preserve"> И.</w:t>
      </w:r>
      <w:r w:rsidRPr="0068283B">
        <w:rPr>
          <w:bCs/>
          <w:iCs/>
          <w:lang w:val="en-US"/>
        </w:rPr>
        <w:t>P</w:t>
      </w:r>
      <w:r w:rsidRPr="0068283B">
        <w:rPr>
          <w:bCs/>
          <w:iCs/>
        </w:rPr>
        <w:t>., Белоусов Т.П.</w:t>
      </w:r>
      <w:r w:rsidRPr="0068283B">
        <w:rPr>
          <w:bCs/>
        </w:rPr>
        <w:t xml:space="preserve"> // ДАН. 1996. Т. 347. № 2. С. 252-255.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  <w:lang w:val="en-US"/>
        </w:rPr>
        <w:t>Solonenko</w:t>
      </w:r>
      <w:proofErr w:type="spellEnd"/>
      <w:r w:rsidRPr="002D4585">
        <w:rPr>
          <w:bCs/>
          <w:iCs/>
          <w:lang w:val="en-US"/>
        </w:rPr>
        <w:t xml:space="preserve"> </w:t>
      </w:r>
      <w:r w:rsidRPr="0068283B">
        <w:rPr>
          <w:bCs/>
          <w:iCs/>
          <w:lang w:val="en-US"/>
        </w:rPr>
        <w:t>A</w:t>
      </w:r>
      <w:r w:rsidRPr="002D4585">
        <w:rPr>
          <w:bCs/>
          <w:iCs/>
          <w:lang w:val="en-US"/>
        </w:rPr>
        <w:t>.</w:t>
      </w:r>
      <w:r w:rsidRPr="0068283B">
        <w:rPr>
          <w:bCs/>
          <w:iCs/>
          <w:lang w:val="en-US"/>
        </w:rPr>
        <w:t>V</w:t>
      </w:r>
      <w:r w:rsidRPr="002D4585">
        <w:rPr>
          <w:bCs/>
          <w:iCs/>
          <w:lang w:val="en-US"/>
        </w:rPr>
        <w:t xml:space="preserve">., </w:t>
      </w:r>
      <w:proofErr w:type="spellStart"/>
      <w:r w:rsidRPr="0068283B">
        <w:rPr>
          <w:bCs/>
          <w:iCs/>
          <w:lang w:val="en-US"/>
        </w:rPr>
        <w:t>Solonenko</w:t>
      </w:r>
      <w:proofErr w:type="spellEnd"/>
      <w:r w:rsidRPr="002D4585">
        <w:rPr>
          <w:bCs/>
          <w:iCs/>
          <w:lang w:val="en-US"/>
        </w:rPr>
        <w:t xml:space="preserve"> </w:t>
      </w:r>
      <w:r w:rsidRPr="0068283B">
        <w:rPr>
          <w:bCs/>
          <w:iCs/>
          <w:lang w:val="en-US"/>
        </w:rPr>
        <w:t>N</w:t>
      </w:r>
      <w:r w:rsidRPr="002D4585">
        <w:rPr>
          <w:bCs/>
          <w:iCs/>
          <w:lang w:val="en-US"/>
        </w:rPr>
        <w:t>.</w:t>
      </w:r>
      <w:r w:rsidRPr="0068283B">
        <w:rPr>
          <w:bCs/>
          <w:iCs/>
          <w:lang w:val="en-US"/>
        </w:rPr>
        <w:t>V</w:t>
      </w:r>
      <w:r w:rsidRPr="002D4585">
        <w:rPr>
          <w:bCs/>
          <w:iCs/>
          <w:lang w:val="en-US"/>
        </w:rPr>
        <w:t xml:space="preserve">., </w:t>
      </w:r>
      <w:proofErr w:type="spellStart"/>
      <w:r w:rsidRPr="0068283B">
        <w:rPr>
          <w:bCs/>
          <w:iCs/>
          <w:lang w:val="en-US"/>
        </w:rPr>
        <w:t>Melnikova</w:t>
      </w:r>
      <w:proofErr w:type="spellEnd"/>
      <w:r w:rsidRPr="002D4585">
        <w:rPr>
          <w:bCs/>
          <w:iCs/>
          <w:lang w:val="en-US"/>
        </w:rPr>
        <w:t xml:space="preserve"> </w:t>
      </w:r>
      <w:r w:rsidRPr="0068283B">
        <w:rPr>
          <w:bCs/>
          <w:iCs/>
          <w:lang w:val="en-US"/>
        </w:rPr>
        <w:t>V</w:t>
      </w:r>
      <w:r w:rsidRPr="002D4585">
        <w:rPr>
          <w:bCs/>
          <w:iCs/>
          <w:lang w:val="en-US"/>
        </w:rPr>
        <w:t>.</w:t>
      </w:r>
      <w:r w:rsidRPr="0068283B">
        <w:rPr>
          <w:bCs/>
          <w:iCs/>
          <w:lang w:val="en-US"/>
        </w:rPr>
        <w:t>I</w:t>
      </w:r>
      <w:r w:rsidRPr="002D4585">
        <w:rPr>
          <w:bCs/>
          <w:iCs/>
          <w:lang w:val="en-US"/>
        </w:rPr>
        <w:t xml:space="preserve">., </w:t>
      </w:r>
      <w:proofErr w:type="spellStart"/>
      <w:r w:rsidRPr="0068283B">
        <w:rPr>
          <w:bCs/>
          <w:iCs/>
          <w:lang w:val="en-US"/>
        </w:rPr>
        <w:t>Shteiman</w:t>
      </w:r>
      <w:proofErr w:type="spellEnd"/>
      <w:r w:rsidRPr="002D4585">
        <w:rPr>
          <w:bCs/>
          <w:iCs/>
          <w:lang w:val="en-US"/>
        </w:rPr>
        <w:t xml:space="preserve"> </w:t>
      </w:r>
      <w:r w:rsidRPr="0068283B">
        <w:rPr>
          <w:bCs/>
          <w:iCs/>
          <w:lang w:val="en-US"/>
        </w:rPr>
        <w:t>E.A.</w:t>
      </w:r>
      <w:r w:rsidRPr="0068283B">
        <w:rPr>
          <w:bCs/>
          <w:lang w:val="en-US"/>
        </w:rPr>
        <w:t xml:space="preserve"> In: Earthquake Hazard and Risk. Kluwer, </w:t>
      </w:r>
      <w:proofErr w:type="gramStart"/>
      <w:r w:rsidRPr="0068283B">
        <w:rPr>
          <w:bCs/>
          <w:lang w:val="en-US"/>
        </w:rPr>
        <w:t>The</w:t>
      </w:r>
      <w:proofErr w:type="gramEnd"/>
      <w:r w:rsidRPr="0068283B">
        <w:rPr>
          <w:bCs/>
          <w:lang w:val="en-US"/>
        </w:rPr>
        <w:t xml:space="preserve"> Netherlands: 1996. P. 49-62.</w:t>
      </w:r>
    </w:p>
    <w:p w:rsidR="002F2233" w:rsidRDefault="00CD63B0" w:rsidP="002F2233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Шерман</w:t>
      </w:r>
      <w:proofErr w:type="spellEnd"/>
      <w:r w:rsidRPr="0068283B">
        <w:rPr>
          <w:bCs/>
          <w:iCs/>
        </w:rPr>
        <w:t xml:space="preserve"> С.И., Днепровский Ю.И.</w:t>
      </w:r>
      <w:r w:rsidRPr="0068283B">
        <w:rPr>
          <w:bCs/>
        </w:rPr>
        <w:t xml:space="preserve"> Поля напряже</w:t>
      </w:r>
      <w:r w:rsidRPr="0068283B">
        <w:rPr>
          <w:bCs/>
        </w:rPr>
        <w:softHyphen/>
        <w:t xml:space="preserve">ний земной коры и </w:t>
      </w:r>
      <w:proofErr w:type="spellStart"/>
      <w:r w:rsidRPr="0068283B">
        <w:rPr>
          <w:bCs/>
        </w:rPr>
        <w:t>геологоструктурные</w:t>
      </w:r>
      <w:proofErr w:type="spellEnd"/>
      <w:r w:rsidRPr="0068283B">
        <w:rPr>
          <w:bCs/>
        </w:rPr>
        <w:t xml:space="preserve"> методы их изучения. Новосибирск: Наука, 1989. 157 с.</w:t>
      </w:r>
    </w:p>
    <w:p w:rsidR="001D1CD2" w:rsidRPr="002F2233" w:rsidRDefault="00CD63B0" w:rsidP="002F2233">
      <w:pPr>
        <w:numPr>
          <w:ilvl w:val="0"/>
          <w:numId w:val="19"/>
        </w:numPr>
        <w:ind w:left="0" w:firstLine="709"/>
        <w:jc w:val="both"/>
        <w:rPr>
          <w:bCs/>
        </w:rPr>
      </w:pPr>
      <w:r w:rsidRPr="002F2233">
        <w:rPr>
          <w:bCs/>
          <w:iCs/>
        </w:rPr>
        <w:t>Ризниченко Ю.В.</w:t>
      </w:r>
      <w:r w:rsidRPr="002F2233">
        <w:rPr>
          <w:bCs/>
        </w:rPr>
        <w:t xml:space="preserve"> Исследования по физике земле</w:t>
      </w:r>
      <w:r w:rsidRPr="002F2233">
        <w:rPr>
          <w:bCs/>
        </w:rPr>
        <w:softHyphen/>
        <w:t>трясений. М.: Наука, 1976. С. 9-27.</w:t>
      </w:r>
    </w:p>
    <w:p w:rsidR="001D1CD2" w:rsidRPr="002F2233" w:rsidRDefault="001D1CD2" w:rsidP="001D1CD2">
      <w:pPr>
        <w:pStyle w:val="aa"/>
        <w:ind w:left="709"/>
        <w:contextualSpacing w:val="0"/>
        <w:jc w:val="both"/>
        <w:rPr>
          <w:bCs/>
        </w:rPr>
      </w:pPr>
    </w:p>
    <w:p w:rsidR="001D1CD2" w:rsidRPr="002F2233" w:rsidRDefault="001D1CD2" w:rsidP="001D1CD2">
      <w:pPr>
        <w:pStyle w:val="aa"/>
        <w:ind w:left="709"/>
        <w:contextualSpacing w:val="0"/>
        <w:jc w:val="both"/>
        <w:rPr>
          <w:bCs/>
        </w:rPr>
      </w:pPr>
    </w:p>
    <w:p w:rsidR="001D1CD2" w:rsidRPr="002F2233" w:rsidRDefault="001D1CD2" w:rsidP="001D1CD2">
      <w:pPr>
        <w:pStyle w:val="aa"/>
        <w:ind w:left="709"/>
        <w:contextualSpacing w:val="0"/>
        <w:jc w:val="both"/>
        <w:rPr>
          <w:bCs/>
        </w:rPr>
      </w:pPr>
    </w:p>
    <w:p w:rsidR="001D1CD2" w:rsidRPr="002F2233" w:rsidRDefault="001D1CD2" w:rsidP="001D1CD2">
      <w:pPr>
        <w:pStyle w:val="aa"/>
        <w:ind w:left="709"/>
        <w:contextualSpacing w:val="0"/>
        <w:jc w:val="both"/>
        <w:rPr>
          <w:bCs/>
        </w:rPr>
      </w:pPr>
    </w:p>
    <w:p w:rsidR="001D1CD2" w:rsidRPr="002F2233" w:rsidRDefault="001D1CD2" w:rsidP="001D1CD2">
      <w:pPr>
        <w:ind w:left="1069"/>
        <w:jc w:val="both"/>
        <w:rPr>
          <w:bCs/>
        </w:rPr>
      </w:pPr>
    </w:p>
    <w:sectPr w:rsidR="001D1CD2" w:rsidRPr="002F2233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59" w:rsidRDefault="00C17059">
      <w:r>
        <w:separator/>
      </w:r>
    </w:p>
  </w:endnote>
  <w:endnote w:type="continuationSeparator" w:id="0">
    <w:p w:rsidR="00C17059" w:rsidRDefault="00C1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59" w:rsidRDefault="00C17059">
      <w:r>
        <w:separator/>
      </w:r>
    </w:p>
  </w:footnote>
  <w:footnote w:type="continuationSeparator" w:id="0">
    <w:p w:rsidR="00C17059" w:rsidRDefault="00C17059">
      <w:r>
        <w:continuationSeparator/>
      </w:r>
    </w:p>
  </w:footnote>
  <w:footnote w:id="1">
    <w:p w:rsidR="00CE661E" w:rsidRDefault="00CE661E">
      <w:pPr>
        <w:pStyle w:val="a3"/>
      </w:pPr>
      <w:r>
        <w:rPr>
          <w:rStyle w:val="a4"/>
        </w:rPr>
        <w:t>*</w:t>
      </w:r>
      <w:r>
        <w:t xml:space="preserve"> </w:t>
      </w:r>
      <w:r w:rsidRPr="00CD63B0">
        <w:t>С</w:t>
      </w:r>
      <w:r>
        <w:t>оавтор</w:t>
      </w:r>
      <w:r w:rsidRPr="00CD63B0">
        <w:t xml:space="preserve"> А.С. Гладков</w:t>
      </w:r>
      <w:r>
        <w:t xml:space="preserve">. </w:t>
      </w:r>
      <w:proofErr w:type="spellStart"/>
      <w:r w:rsidRPr="00CD63B0">
        <w:t>Докл</w:t>
      </w:r>
      <w:proofErr w:type="spellEnd"/>
      <w:r w:rsidRPr="00CD63B0">
        <w:t>. РАН. – 1998. – Т. 361, № 5. – С. 685–688.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7D"/>
    <w:rsid w:val="00026982"/>
    <w:rsid w:val="000511E6"/>
    <w:rsid w:val="00073202"/>
    <w:rsid w:val="0007656C"/>
    <w:rsid w:val="00076B1C"/>
    <w:rsid w:val="000776CE"/>
    <w:rsid w:val="0008673B"/>
    <w:rsid w:val="000B06CA"/>
    <w:rsid w:val="000C3066"/>
    <w:rsid w:val="000C3C38"/>
    <w:rsid w:val="00102199"/>
    <w:rsid w:val="00103F87"/>
    <w:rsid w:val="00110F6A"/>
    <w:rsid w:val="00127C2D"/>
    <w:rsid w:val="00135F16"/>
    <w:rsid w:val="001428E3"/>
    <w:rsid w:val="00143254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1E70BA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2233"/>
    <w:rsid w:val="002F45B8"/>
    <w:rsid w:val="00377BE0"/>
    <w:rsid w:val="0038429B"/>
    <w:rsid w:val="003B79F0"/>
    <w:rsid w:val="003C4428"/>
    <w:rsid w:val="003C4CE2"/>
    <w:rsid w:val="00403938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3D36"/>
    <w:rsid w:val="004D2FF8"/>
    <w:rsid w:val="004E5143"/>
    <w:rsid w:val="004F6EC0"/>
    <w:rsid w:val="00511959"/>
    <w:rsid w:val="00516661"/>
    <w:rsid w:val="00532185"/>
    <w:rsid w:val="005466A2"/>
    <w:rsid w:val="00595CD0"/>
    <w:rsid w:val="005C1AA1"/>
    <w:rsid w:val="005C4C02"/>
    <w:rsid w:val="005E6C69"/>
    <w:rsid w:val="00612855"/>
    <w:rsid w:val="00627ACA"/>
    <w:rsid w:val="00636452"/>
    <w:rsid w:val="0068283B"/>
    <w:rsid w:val="0069467F"/>
    <w:rsid w:val="006C22AC"/>
    <w:rsid w:val="006C5280"/>
    <w:rsid w:val="006D1111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790588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729BB"/>
    <w:rsid w:val="00B92B03"/>
    <w:rsid w:val="00BE34BA"/>
    <w:rsid w:val="00BF15BD"/>
    <w:rsid w:val="00C03493"/>
    <w:rsid w:val="00C04210"/>
    <w:rsid w:val="00C06B36"/>
    <w:rsid w:val="00C17059"/>
    <w:rsid w:val="00C22B2A"/>
    <w:rsid w:val="00C341CA"/>
    <w:rsid w:val="00C4027C"/>
    <w:rsid w:val="00C734F6"/>
    <w:rsid w:val="00C84659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3197D"/>
    <w:rPr>
      <w:sz w:val="20"/>
      <w:szCs w:val="20"/>
    </w:rPr>
  </w:style>
  <w:style w:type="character" w:styleId="a4">
    <w:name w:val="footnote reference"/>
    <w:basedOn w:val="a0"/>
    <w:semiHidden/>
    <w:rsid w:val="0023197D"/>
    <w:rPr>
      <w:vertAlign w:val="superscript"/>
    </w:rPr>
  </w:style>
  <w:style w:type="paragraph" w:styleId="a5">
    <w:name w:val="Normal (Web)"/>
    <w:basedOn w:val="a"/>
    <w:rsid w:val="00915FD2"/>
  </w:style>
  <w:style w:type="table" w:styleId="a6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rsid w:val="000B06C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B06CA"/>
  </w:style>
  <w:style w:type="character" w:styleId="a9">
    <w:name w:val="endnote reference"/>
    <w:basedOn w:val="a0"/>
    <w:rsid w:val="000B06CA"/>
    <w:rPr>
      <w:vertAlign w:val="superscript"/>
    </w:rPr>
  </w:style>
  <w:style w:type="paragraph" w:styleId="aa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c">
    <w:name w:val="„’”–ђ€_"/>
    <w:basedOn w:val="a0"/>
    <w:link w:val="ad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d">
    <w:name w:val="„’”–ђ€"/>
    <w:basedOn w:val="a"/>
    <w:link w:val="ac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e">
    <w:name w:val="Hyperlink"/>
    <w:basedOn w:val="a0"/>
    <w:rsid w:val="008A41C8"/>
    <w:rPr>
      <w:color w:val="0563C1" w:themeColor="hyperlink"/>
      <w:u w:val="single"/>
    </w:rPr>
  </w:style>
  <w:style w:type="character" w:customStyle="1" w:styleId="12">
    <w:name w:val="‚€‹”‘”‰”ђ 12_"/>
    <w:basedOn w:val="a0"/>
    <w:link w:val="120"/>
    <w:uiPriority w:val="99"/>
    <w:rsid w:val="0069467F"/>
    <w:rPr>
      <w:b/>
      <w:bCs/>
      <w:spacing w:val="4"/>
      <w:sz w:val="58"/>
      <w:szCs w:val="58"/>
      <w:shd w:val="clear" w:color="auto" w:fill="FFFFFF"/>
    </w:rPr>
  </w:style>
  <w:style w:type="paragraph" w:customStyle="1" w:styleId="120">
    <w:name w:val="‚€‹”‘”‰”ђ 12"/>
    <w:basedOn w:val="a"/>
    <w:link w:val="12"/>
    <w:uiPriority w:val="99"/>
    <w:rsid w:val="0069467F"/>
    <w:pPr>
      <w:widowControl w:val="0"/>
      <w:shd w:val="clear" w:color="auto" w:fill="FFFFFF"/>
      <w:spacing w:before="660" w:after="660" w:line="240" w:lineRule="atLeast"/>
      <w:jc w:val="right"/>
      <w:outlineLvl w:val="1"/>
    </w:pPr>
    <w:rPr>
      <w:b/>
      <w:bCs/>
      <w:spacing w:val="4"/>
      <w:sz w:val="58"/>
      <w:szCs w:val="58"/>
    </w:rPr>
  </w:style>
  <w:style w:type="paragraph" w:styleId="af">
    <w:name w:val="Balloon Text"/>
    <w:basedOn w:val="a"/>
    <w:link w:val="af0"/>
    <w:rsid w:val="006946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94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3197D"/>
    <w:rPr>
      <w:sz w:val="20"/>
      <w:szCs w:val="20"/>
    </w:rPr>
  </w:style>
  <w:style w:type="character" w:styleId="a4">
    <w:name w:val="footnote reference"/>
    <w:basedOn w:val="a0"/>
    <w:semiHidden/>
    <w:rsid w:val="0023197D"/>
    <w:rPr>
      <w:vertAlign w:val="superscript"/>
    </w:rPr>
  </w:style>
  <w:style w:type="paragraph" w:styleId="a5">
    <w:name w:val="Normal (Web)"/>
    <w:basedOn w:val="a"/>
    <w:rsid w:val="00915FD2"/>
  </w:style>
  <w:style w:type="table" w:styleId="a6">
    <w:name w:val="Table Grid"/>
    <w:basedOn w:val="a1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rsid w:val="000B06C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B06CA"/>
  </w:style>
  <w:style w:type="character" w:styleId="a9">
    <w:name w:val="endnote reference"/>
    <w:basedOn w:val="a0"/>
    <w:rsid w:val="000B06CA"/>
    <w:rPr>
      <w:vertAlign w:val="superscript"/>
    </w:rPr>
  </w:style>
  <w:style w:type="paragraph" w:styleId="aa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c">
    <w:name w:val="„’”–ђ€_"/>
    <w:basedOn w:val="a0"/>
    <w:link w:val="ad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d">
    <w:name w:val="„’”–ђ€"/>
    <w:basedOn w:val="a"/>
    <w:link w:val="ac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e">
    <w:name w:val="Hyperlink"/>
    <w:basedOn w:val="a0"/>
    <w:rsid w:val="008A41C8"/>
    <w:rPr>
      <w:color w:val="0563C1" w:themeColor="hyperlink"/>
      <w:u w:val="single"/>
    </w:rPr>
  </w:style>
  <w:style w:type="character" w:customStyle="1" w:styleId="12">
    <w:name w:val="‚€‹”‘”‰”ђ 12_"/>
    <w:basedOn w:val="a0"/>
    <w:link w:val="120"/>
    <w:uiPriority w:val="99"/>
    <w:rsid w:val="0069467F"/>
    <w:rPr>
      <w:b/>
      <w:bCs/>
      <w:spacing w:val="4"/>
      <w:sz w:val="58"/>
      <w:szCs w:val="58"/>
      <w:shd w:val="clear" w:color="auto" w:fill="FFFFFF"/>
    </w:rPr>
  </w:style>
  <w:style w:type="paragraph" w:customStyle="1" w:styleId="120">
    <w:name w:val="‚€‹”‘”‰”ђ 12"/>
    <w:basedOn w:val="a"/>
    <w:link w:val="12"/>
    <w:uiPriority w:val="99"/>
    <w:rsid w:val="0069467F"/>
    <w:pPr>
      <w:widowControl w:val="0"/>
      <w:shd w:val="clear" w:color="auto" w:fill="FFFFFF"/>
      <w:spacing w:before="660" w:after="660" w:line="240" w:lineRule="atLeast"/>
      <w:jc w:val="right"/>
      <w:outlineLvl w:val="1"/>
    </w:pPr>
    <w:rPr>
      <w:b/>
      <w:bCs/>
      <w:spacing w:val="4"/>
      <w:sz w:val="58"/>
      <w:szCs w:val="58"/>
    </w:rPr>
  </w:style>
  <w:style w:type="paragraph" w:styleId="af">
    <w:name w:val="Balloon Text"/>
    <w:basedOn w:val="a"/>
    <w:link w:val="af0"/>
    <w:rsid w:val="006946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94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35EF-EF95-42FC-9A47-6621712C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имя</cp:lastModifiedBy>
  <cp:revision>36</cp:revision>
  <dcterms:created xsi:type="dcterms:W3CDTF">2017-01-13T05:21:00Z</dcterms:created>
  <dcterms:modified xsi:type="dcterms:W3CDTF">2017-05-24T04:42:00Z</dcterms:modified>
</cp:coreProperties>
</file>