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AF" w:rsidRPr="00065588" w:rsidRDefault="00EA63AF" w:rsidP="00065588">
      <w:pPr>
        <w:jc w:val="center"/>
      </w:pPr>
      <w:r w:rsidRPr="00065588">
        <w:t>Н.</w:t>
      </w:r>
      <w:r w:rsidR="00065588" w:rsidRPr="00065588">
        <w:t xml:space="preserve"> </w:t>
      </w:r>
      <w:r w:rsidRPr="00065588">
        <w:t>А. ЛОГАЧЕВ, С.</w:t>
      </w:r>
      <w:r w:rsidR="00065588" w:rsidRPr="00065588">
        <w:t xml:space="preserve"> </w:t>
      </w:r>
      <w:r w:rsidRPr="00065588">
        <w:t xml:space="preserve">И. </w:t>
      </w:r>
      <w:bookmarkStart w:id="0" w:name="_GoBack"/>
      <w:r w:rsidRPr="00065588">
        <w:t>ШЕРМАН, К.</w:t>
      </w:r>
      <w:r w:rsidR="00065588" w:rsidRPr="00065588">
        <w:t xml:space="preserve"> </w:t>
      </w:r>
      <w:r w:rsidRPr="00065588">
        <w:t>Г. ЛЕВИ</w:t>
      </w:r>
    </w:p>
    <w:p w:rsidR="00EA63AF" w:rsidRPr="00EA63AF" w:rsidRDefault="00EA63AF" w:rsidP="00065588">
      <w:pPr>
        <w:jc w:val="center"/>
        <w:rPr>
          <w:b/>
        </w:rPr>
      </w:pPr>
    </w:p>
    <w:p w:rsidR="008E4C09" w:rsidRPr="00305D26" w:rsidRDefault="008E4C09" w:rsidP="00065588">
      <w:pPr>
        <w:jc w:val="center"/>
        <w:rPr>
          <w:b/>
        </w:rPr>
      </w:pPr>
      <w:r w:rsidRPr="00305D26">
        <w:rPr>
          <w:b/>
        </w:rPr>
        <w:t>ГЕОДИНАМИЧЕСКАЯ АКТИВНОСТЬ ЛИТОСФЕРЫ</w:t>
      </w:r>
    </w:p>
    <w:p w:rsidR="008E4C09" w:rsidRPr="00305D26" w:rsidRDefault="008E4C09" w:rsidP="00065588">
      <w:pPr>
        <w:jc w:val="center"/>
        <w:rPr>
          <w:b/>
        </w:rPr>
      </w:pPr>
      <w:r w:rsidRPr="00305D26">
        <w:rPr>
          <w:b/>
        </w:rPr>
        <w:t xml:space="preserve">ТЕРРИТОРИИ </w:t>
      </w:r>
      <w:bookmarkEnd w:id="0"/>
      <w:r w:rsidRPr="00305D26">
        <w:rPr>
          <w:b/>
        </w:rPr>
        <w:t>СИБИРИ</w:t>
      </w:r>
      <w:r w:rsidRPr="00305D26">
        <w:rPr>
          <w:rStyle w:val="a5"/>
          <w:b/>
        </w:rPr>
        <w:footnoteReference w:customMarkFollows="1" w:id="1"/>
        <w:t>*</w:t>
      </w:r>
    </w:p>
    <w:p w:rsidR="008E4C09" w:rsidRPr="00305D26" w:rsidRDefault="008E4C09" w:rsidP="008E4C09">
      <w:pPr>
        <w:ind w:firstLine="709"/>
        <w:jc w:val="both"/>
        <w:rPr>
          <w:b/>
        </w:rPr>
      </w:pPr>
    </w:p>
    <w:p w:rsidR="008E4C09" w:rsidRPr="00305D26" w:rsidRDefault="008E4C09" w:rsidP="008E4C09">
      <w:pPr>
        <w:ind w:firstLine="709"/>
        <w:jc w:val="both"/>
      </w:pPr>
      <w:r w:rsidRPr="00305D26">
        <w:t xml:space="preserve">Работы по геодинамике приобретают все большее значение среди широкого комплекса геологических исследований. Их суммарные результаты можно и необходимо изображать на карте — старейшем и основном геологическом документе. С развитием геодинамики, особенно после ряда крупных обобщений [1—3] и рецензий на них [4], начали составляться геодинамические карты. Одна из первых в Союзе попыток составления геодинамической карты предпринята под редакцией А.А. </w:t>
      </w:r>
      <w:proofErr w:type="spellStart"/>
      <w:r w:rsidRPr="00305D26">
        <w:t>Смыслова</w:t>
      </w:r>
      <w:proofErr w:type="spellEnd"/>
      <w:r w:rsidRPr="00305D26">
        <w:t xml:space="preserve"> [5, 6]. В основу ее построения положено несколько критериев одинаковой степени значимости. На ней выделены различные типы геодинамических систем, сформированных в разное время на литосфере разной степени зрелости.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Важные методические исследования провели Б.В. Ермаков, В.И. Семов и Ю.К. Щукин [7], составившие карту тектонической активности (состояния вещества) верха мантий. Заслуживающую внимания методику составления карты современной энергетической насыщенности земной коры предложили М.Е. Артемьев, </w:t>
      </w:r>
      <w:proofErr w:type="spellStart"/>
      <w:r w:rsidRPr="00305D26">
        <w:t>Г.И.Рейснер</w:t>
      </w:r>
      <w:proofErr w:type="spellEnd"/>
      <w:r w:rsidRPr="00305D26">
        <w:t xml:space="preserve"> и В.Н. </w:t>
      </w:r>
      <w:proofErr w:type="spellStart"/>
      <w:r w:rsidRPr="00305D26">
        <w:t>Шолпо</w:t>
      </w:r>
      <w:proofErr w:type="spellEnd"/>
      <w:r w:rsidRPr="00305D26">
        <w:t xml:space="preserve"> [8]. Ими составлены карты энергетической насыщенности Карпатского и Кавказского регионов.</w:t>
      </w:r>
    </w:p>
    <w:p w:rsidR="008E4C09" w:rsidRPr="00305D26" w:rsidRDefault="008E4C09" w:rsidP="008E4C09">
      <w:pPr>
        <w:ind w:firstLine="709"/>
        <w:jc w:val="both"/>
      </w:pPr>
      <w:r w:rsidRPr="00305D26">
        <w:t>Анализ этих и других немногочисленных геодинамических карт показывает, что широко распространенные сейчас методы геологической картографии не позволяют построить легко читаемую карту геодинамики литосферы. Геодинамика литосферы — комплексное понятие, подразумевающее одновременное действие сложной многокомпонентной системы процессов во времени и пространстве. Как же примирить требование относительно легкой читаемости карты и отображения на плане результатов сложно взаимосвязанных явлений? Возникает необходимость разработки комплексных (количественных или полуколичественных) геодинамических показателей для интегрированного отображения геодинамической ситуации.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Для характеристики геодинамической активности литосферы в кайнозое мы предлагаем использовать интегральный показатель, включающий шесть ведущих геодинамических признаков: амплитуды вертикальных и горизонтальных движений, мощность литосферы, сейсмический потенциал, плотность теплового потока и интенсивность вулканической деятельности. Эти признаки в согласии с [9] устойчиво характеризуют достаточно крупные регионы и изменяются при переходе от одной геодинамической области к другой; обладают количественной определенностью и достоверно устанавливаются из наблюдений без применения априорных представлений о модели среды; связаны с определенной геодинамической ситуацией; коррелируются или находятся в согласии с другими признаками, типичными дня данной обстановки; и, наконец, не являются данными единичных, индивидуальных наблюдений, т.е. в определенной мере случайными величинами.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Каждый из признаков характеризуется количественным выражением, которое отражает один из ведущих параметров геодинамической активности. Действительно, два первых признака дают представление о площадях масс, вовлеченных в движения. Именно движения поверхности наиболее быстро фиксируют происходящие на глубинах перемещения масс и фазовые переходы. С движениями материала генетически связаны два других показателя: толщина литосферы и сейсмический потенциал. Известна связь между толщиной деформируемого тела и размерами развивающихся в нем структур и наоборот — зоны динамического влияния структур зависят от толщины деформируемого тела, в котором они развиваются [10]. Таким образом, можно уверенно утверждать, что по неотектоническим </w:t>
      </w:r>
      <w:r w:rsidRPr="00305D26">
        <w:lastRenderedPageBreak/>
        <w:t>структурам на поверхности Земли с поперечником не менее 50-70 км можно приближенно оценивать мощности слоев литосферы, вовлеченные в деформацию и тектоническую активность. С деформацией литосферы тесно связана и сейсмическая активность, которая практически мгновенно информирует нас об образовании в глубинах литосферы деструктивной области (очага землетрясения).</w:t>
      </w:r>
    </w:p>
    <w:p w:rsidR="008E4C09" w:rsidRPr="00305D26" w:rsidRDefault="008E4C09" w:rsidP="008E4C09">
      <w:pPr>
        <w:ind w:firstLine="709"/>
        <w:jc w:val="both"/>
      </w:pPr>
      <w:r w:rsidRPr="00305D26">
        <w:t>И, наконец, об активности литосферы можно судить и по магматическим образованиям и тепловому потоку. Ареалы кайнозойских базальтов, включая древние и современные вулканы, являются неоспоримым аргументом высокой степени разогрева и разуплотнения литосферы и астеносферы в пространствах, превышающих ареалы распространения наземного вулканизма. Тепловой поток — весьма информативный, но не всегда однозначный показатель степени геодинамической активности литосферы. По сравнению с характеристиками амплитуд движений или сейсми</w:t>
      </w:r>
      <w:r w:rsidRPr="00305D26">
        <w:softHyphen/>
        <w:t>ческим потенциалом величина плотности теплового потока может отставать во вре</w:t>
      </w:r>
      <w:r w:rsidRPr="00305D26">
        <w:softHyphen/>
        <w:t>мени от современных процессов в литосфере. Следовательно, кайнозойский вулка</w:t>
      </w:r>
      <w:r w:rsidRPr="00305D26">
        <w:softHyphen/>
        <w:t>низм и тепловой поток необходимо рассматривать как процесс и физическое поле, отражающие геодинамическую активность литосферы за относительно продолжитель</w:t>
      </w:r>
      <w:r w:rsidRPr="00305D26">
        <w:softHyphen/>
        <w:t xml:space="preserve">ный период времени. </w:t>
      </w:r>
    </w:p>
    <w:p w:rsidR="008E4C09" w:rsidRPr="00305D26" w:rsidRDefault="008E4C09" w:rsidP="008E4C09">
      <w:pPr>
        <w:ind w:firstLine="709"/>
        <w:jc w:val="both"/>
      </w:pPr>
      <w:r w:rsidRPr="00305D26">
        <w:t>Для перехода от количественно выраженных частных значений признаков к их интегральной характеристике нами введен качественный критерий относительной степени геодинамической активности литосферы (см. таблицу к рис. 1). Он является интегральным показателем упомянутых частных признаков, выраженных в коли</w:t>
      </w:r>
      <w:r w:rsidRPr="00305D26">
        <w:softHyphen/>
        <w:t xml:space="preserve">чественной форме. </w:t>
      </w:r>
    </w:p>
    <w:p w:rsidR="008E4C09" w:rsidRPr="00305D26" w:rsidRDefault="00C85F72" w:rsidP="00C85F72">
      <w:pPr>
        <w:jc w:val="center"/>
      </w:pPr>
      <w:r w:rsidRPr="00C85F72">
        <w:rPr>
          <w:noProof/>
        </w:rPr>
        <w:drawing>
          <wp:inline distT="0" distB="0" distL="0" distR="0">
            <wp:extent cx="6120130" cy="4613236"/>
            <wp:effectExtent l="0" t="0" r="0" b="0"/>
            <wp:docPr id="1" name="Рисунок 1" descr="D:\18НАУЧНАЯ РАБОТА\01СТАТЬИ\2017\ТРУДЫ\КНИГА\ТЕМА 3\Рисунки Обраб\[143] ДАН, 1986, Т.289, №6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143] ДАН, 1986, Т.289, №6, рис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Рис. 1. Карта геодинамической активности литосферы Сибири. 1-5 – интегральный показатель; 6-8 – сейсмический потенциал; 9-11 – границы: 9 – областей с разной степенью активности литосферы, 10 – литосферных блоков (а – </w:t>
      </w:r>
      <w:proofErr w:type="spellStart"/>
      <w:r w:rsidRPr="00305D26">
        <w:t>слабокативные</w:t>
      </w:r>
      <w:proofErr w:type="spellEnd"/>
      <w:r w:rsidRPr="00305D26">
        <w:t>, б – высокоактивные); 11 – участков земной коры разного возраста; 12 – изолинии плотности теплового потока (мВт/м</w:t>
      </w:r>
      <w:r w:rsidRPr="00305D26">
        <w:rPr>
          <w:vertAlign w:val="superscript"/>
        </w:rPr>
        <w:t>2</w:t>
      </w:r>
      <w:r w:rsidRPr="00305D26">
        <w:t>); 13 – облас</w:t>
      </w:r>
      <w:r>
        <w:t xml:space="preserve">ти проявления кайнозойского </w:t>
      </w:r>
      <w:proofErr w:type="spellStart"/>
      <w:r>
        <w:t>маг</w:t>
      </w:r>
      <w:r w:rsidRPr="00305D26">
        <w:t>матизма</w:t>
      </w:r>
      <w:proofErr w:type="spellEnd"/>
      <w:r w:rsidRPr="00305D26">
        <w:t>; 14 – предполагаемое направление относительного горизонтального перемещения литосферных блоков.</w:t>
      </w:r>
    </w:p>
    <w:p w:rsidR="008E4C09" w:rsidRPr="00305D26" w:rsidRDefault="008E4C09" w:rsidP="008E4C09">
      <w:pPr>
        <w:ind w:firstLine="709"/>
        <w:jc w:val="both"/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185"/>
        <w:gridCol w:w="1276"/>
        <w:gridCol w:w="992"/>
        <w:gridCol w:w="1276"/>
        <w:gridCol w:w="1134"/>
        <w:gridCol w:w="1134"/>
        <w:gridCol w:w="1275"/>
      </w:tblGrid>
      <w:tr w:rsidR="008E4C09" w:rsidRPr="00305D26" w:rsidTr="004059A2">
        <w:trPr>
          <w:trHeight w:val="841"/>
          <w:jc w:val="center"/>
        </w:trPr>
        <w:tc>
          <w:tcPr>
            <w:tcW w:w="1362" w:type="dxa"/>
            <w:vMerge w:val="restart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t>Интеграль-ный</w:t>
            </w:r>
            <w:proofErr w:type="spellEnd"/>
            <w:proofErr w:type="gramEnd"/>
            <w:r w:rsidRPr="00305D26">
              <w:t xml:space="preserve"> пока-</w:t>
            </w:r>
            <w:proofErr w:type="spellStart"/>
            <w:r w:rsidRPr="00305D26">
              <w:t>затель</w:t>
            </w:r>
            <w:proofErr w:type="spellEnd"/>
          </w:p>
        </w:tc>
        <w:tc>
          <w:tcPr>
            <w:tcW w:w="1185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>Степень активности литосферы</w:t>
            </w:r>
          </w:p>
        </w:tc>
        <w:tc>
          <w:tcPr>
            <w:tcW w:w="2268" w:type="dxa"/>
            <w:gridSpan w:val="2"/>
          </w:tcPr>
          <w:p w:rsidR="008E4C09" w:rsidRPr="00305D26" w:rsidRDefault="008E4C09" w:rsidP="004059A2">
            <w:pPr>
              <w:jc w:val="both"/>
            </w:pPr>
            <w:r w:rsidRPr="00305D26">
              <w:t>Амплитуды неотектонических движений, м</w:t>
            </w:r>
          </w:p>
        </w:tc>
        <w:tc>
          <w:tcPr>
            <w:tcW w:w="1276" w:type="dxa"/>
            <w:vMerge w:val="restart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t>Сейсмичес</w:t>
            </w:r>
            <w:proofErr w:type="spellEnd"/>
            <w:r w:rsidRPr="00305D26">
              <w:t>-кий</w:t>
            </w:r>
            <w:proofErr w:type="gramEnd"/>
            <w:r w:rsidRPr="00305D26">
              <w:t xml:space="preserve"> потен-</w:t>
            </w:r>
            <w:proofErr w:type="spellStart"/>
            <w:r w:rsidRPr="00305D26">
              <w:t>циал</w:t>
            </w:r>
            <w:proofErr w:type="spellEnd"/>
            <w:r w:rsidRPr="00305D26">
              <w:t xml:space="preserve"> (</w:t>
            </w:r>
            <w:proofErr w:type="spellStart"/>
            <w:r w:rsidRPr="00305D26">
              <w:t>М</w:t>
            </w:r>
            <w:r w:rsidRPr="00305D26">
              <w:rPr>
                <w:vertAlign w:val="subscript"/>
              </w:rPr>
              <w:t>мах</w:t>
            </w:r>
            <w:proofErr w:type="spellEnd"/>
            <w:r w:rsidRPr="00305D26">
              <w:t xml:space="preserve"> </w:t>
            </w:r>
            <w:proofErr w:type="spellStart"/>
            <w:r w:rsidRPr="00305D26">
              <w:t>изв</w:t>
            </w:r>
            <w:proofErr w:type="spellEnd"/>
            <w:r w:rsidRPr="00305D26">
              <w:t>. земле-трясений)</w:t>
            </w:r>
          </w:p>
        </w:tc>
        <w:tc>
          <w:tcPr>
            <w:tcW w:w="1134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 xml:space="preserve">Площадь </w:t>
            </w:r>
            <w:proofErr w:type="spellStart"/>
            <w:proofErr w:type="gramStart"/>
            <w:r w:rsidRPr="00305D26">
              <w:t>распрост</w:t>
            </w:r>
            <w:proofErr w:type="spellEnd"/>
            <w:r w:rsidRPr="00305D26">
              <w:t>-ранения</w:t>
            </w:r>
            <w:proofErr w:type="gramEnd"/>
            <w:r w:rsidRPr="00305D26">
              <w:t xml:space="preserve"> кайнозой-</w:t>
            </w:r>
            <w:proofErr w:type="spellStart"/>
            <w:r w:rsidRPr="00305D26">
              <w:t>ских</w:t>
            </w:r>
            <w:proofErr w:type="spellEnd"/>
            <w:r w:rsidRPr="00305D26">
              <w:t xml:space="preserve"> маг-</w:t>
            </w:r>
            <w:proofErr w:type="spellStart"/>
            <w:r w:rsidRPr="00305D26">
              <w:t>матичес</w:t>
            </w:r>
            <w:proofErr w:type="spellEnd"/>
            <w:r w:rsidRPr="00305D26">
              <w:t xml:space="preserve">-ких </w:t>
            </w:r>
            <w:proofErr w:type="spellStart"/>
            <w:r w:rsidRPr="00305D26">
              <w:t>обра-зований</w:t>
            </w:r>
            <w:proofErr w:type="spellEnd"/>
            <w:r w:rsidRPr="00305D26">
              <w:t>, %</w:t>
            </w:r>
          </w:p>
        </w:tc>
        <w:tc>
          <w:tcPr>
            <w:tcW w:w="1134" w:type="dxa"/>
            <w:vMerge w:val="restart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Плотность теплового потока мВт/м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>Примерная мощность литосферы, км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85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  <w:proofErr w:type="gramStart"/>
            <w:r w:rsidRPr="00305D26">
              <w:t>вертикаль-</w:t>
            </w:r>
            <w:proofErr w:type="spellStart"/>
            <w:r w:rsidRPr="00305D26">
              <w:t>ные</w:t>
            </w:r>
            <w:proofErr w:type="spellEnd"/>
            <w:proofErr w:type="gramEnd"/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t>горизон-тальные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275" w:type="dxa"/>
            <w:vMerge/>
          </w:tcPr>
          <w:p w:rsidR="008E4C09" w:rsidRPr="00305D26" w:rsidRDefault="008E4C09" w:rsidP="004059A2">
            <w:pPr>
              <w:jc w:val="both"/>
            </w:pP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1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proofErr w:type="spellStart"/>
            <w:r w:rsidRPr="00305D26">
              <w:t>Оцень</w:t>
            </w:r>
            <w:proofErr w:type="spellEnd"/>
            <w:r w:rsidRPr="00305D26">
              <w:t xml:space="preserve"> </w:t>
            </w:r>
            <w:proofErr w:type="gramStart"/>
            <w:r w:rsidRPr="00305D26">
              <w:t>низ-кая</w:t>
            </w:r>
            <w:proofErr w:type="gramEnd"/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&lt; 250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r w:rsidRPr="00305D26">
              <w:t>первые метры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&lt;</w:t>
            </w:r>
            <w:r w:rsidRPr="00305D26">
              <w:t xml:space="preserve"> 30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200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2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Низкая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250-50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r w:rsidRPr="00305D26">
              <w:t>первые десятки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30-50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150-200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3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Средняя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500-1000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&lt; 4 (6)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 xml:space="preserve">&lt; 1 </w:t>
            </w:r>
            <w:proofErr w:type="spellStart"/>
            <w:r w:rsidRPr="00305D26">
              <w:t>ред</w:t>
            </w:r>
            <w:proofErr w:type="spellEnd"/>
            <w:r w:rsidRPr="00305D26">
              <w:t xml:space="preserve">-кие </w:t>
            </w:r>
            <w:proofErr w:type="spellStart"/>
            <w:r w:rsidRPr="00305D26">
              <w:t>вул-каны</w:t>
            </w:r>
            <w:proofErr w:type="spellEnd"/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50-70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100-150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4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Высокая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1000-2000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4-6 (7)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1-10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70-90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70-100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5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 xml:space="preserve">Очень </w:t>
            </w:r>
            <w:proofErr w:type="gramStart"/>
            <w:r w:rsidRPr="00305D26">
              <w:t>вы-</w:t>
            </w:r>
            <w:proofErr w:type="spellStart"/>
            <w:r w:rsidRPr="00305D26">
              <w:t>сокая</w:t>
            </w:r>
            <w:proofErr w:type="spellEnd"/>
            <w:proofErr w:type="gramEnd"/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&gt; 2000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&gt; 6 (8)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 xml:space="preserve">&gt; </w:t>
            </w:r>
            <w:r w:rsidRPr="00305D26">
              <w:t>10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90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&lt;</w:t>
            </w:r>
            <w:r w:rsidRPr="00305D26">
              <w:t xml:space="preserve"> 70* или </w:t>
            </w:r>
          </w:p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150**</w:t>
            </w:r>
          </w:p>
        </w:tc>
      </w:tr>
    </w:tbl>
    <w:p w:rsidR="008E4C09" w:rsidRPr="00C31E70" w:rsidRDefault="008E4C09" w:rsidP="008E4C09">
      <w:pPr>
        <w:ind w:firstLine="709"/>
        <w:jc w:val="both"/>
      </w:pPr>
      <w:r w:rsidRPr="00C31E70">
        <w:t>* Как правило при нормальном развитии литосферы.</w:t>
      </w:r>
    </w:p>
    <w:p w:rsidR="008E4C09" w:rsidRPr="00C31E70" w:rsidRDefault="008E4C09" w:rsidP="008E4C09">
      <w:pPr>
        <w:ind w:firstLine="709"/>
        <w:jc w:val="both"/>
      </w:pPr>
      <w:r w:rsidRPr="00C31E70">
        <w:t>** При «сдвоении» литосферы в зонах континентальной коллизии</w:t>
      </w:r>
    </w:p>
    <w:p w:rsidR="008E4C09" w:rsidRPr="00305D26" w:rsidRDefault="008E4C09" w:rsidP="008E4C09">
      <w:pPr>
        <w:ind w:firstLine="709"/>
        <w:jc w:val="both"/>
      </w:pPr>
    </w:p>
    <w:p w:rsidR="008E4C09" w:rsidRPr="00305D26" w:rsidRDefault="008E4C09" w:rsidP="008E4C09">
      <w:pPr>
        <w:ind w:firstLine="709"/>
        <w:jc w:val="both"/>
      </w:pPr>
      <w:r w:rsidRPr="00305D26">
        <w:t>Намечается пять уровней градации степени геодинамической активности лито</w:t>
      </w:r>
      <w:r w:rsidRPr="00305D26">
        <w:softHyphen/>
        <w:t>сферы в кайнозое: очень низкая, низкая, средняя, высокая и очень высокая, кото</w:t>
      </w:r>
      <w:r w:rsidRPr="00305D26">
        <w:softHyphen/>
        <w:t>рым соответствуют конкретные средние количественные значения частных данных. Эти же характеристики и материалы ([6, 11-14] и др.) положены в основу легенды и карты геодинамической активности литосферы Сибири в кайнозое. Заметим, что отсутствие данных по одному из признаков или их отклонение от среднего значения не влияют на интегральный качественный показатель. Заключение о степени геодина</w:t>
      </w:r>
      <w:r w:rsidRPr="00305D26">
        <w:softHyphen/>
        <w:t>мической активности литосферы можно сделать по 3-4 ведущим признакам, коли</w:t>
      </w:r>
      <w:r w:rsidRPr="00305D26">
        <w:softHyphen/>
        <w:t xml:space="preserve">чественное выражение которых не вызывает сомнений. </w:t>
      </w:r>
    </w:p>
    <w:p w:rsidR="008E4C09" w:rsidRPr="00305D26" w:rsidRDefault="008E4C09" w:rsidP="008E4C09">
      <w:pPr>
        <w:ind w:firstLine="709"/>
        <w:jc w:val="both"/>
      </w:pPr>
      <w:r w:rsidRPr="00305D26">
        <w:t>На карте (рис. 1) отчетливо выделяются области с разной степенью геодинамической активности литосферы. В одних случаях они совпадают с границами нео</w:t>
      </w:r>
      <w:r w:rsidRPr="00305D26">
        <w:softHyphen/>
        <w:t>тектонических структур, в других накладываются на границы и "объединяют" райо</w:t>
      </w:r>
      <w:r w:rsidRPr="00305D26">
        <w:softHyphen/>
        <w:t>ны с разными режимами геотектонического развития и возрастом консолидации коры. Последняя ситуация характерна для областей высокой и очень высокой гео</w:t>
      </w:r>
      <w:r w:rsidRPr="00305D26">
        <w:softHyphen/>
        <w:t>динамической активности. Структурным фактором их контроля являются активные границы между литосферными блоками. Совершенно очевидно, что здесь нельзя ста</w:t>
      </w:r>
      <w:r w:rsidRPr="00305D26">
        <w:softHyphen/>
        <w:t>вить вопрос о "первичности" границ и "вторичности" областей геодинамической ак</w:t>
      </w:r>
      <w:r w:rsidRPr="00305D26">
        <w:softHyphen/>
        <w:t>тивности. Налицо сложные причинно-следственные связи. Необходимо лишь отметить, что возраст консолидированной коры и современная геодинамическая активность литосферы на территории Сибири не всегда коррелируют между собой.</w:t>
      </w:r>
    </w:p>
    <w:p w:rsidR="008E4C09" w:rsidRPr="00305D26" w:rsidRDefault="008E4C09" w:rsidP="008E4C09">
      <w:pPr>
        <w:ind w:firstLine="709"/>
        <w:jc w:val="both"/>
      </w:pPr>
      <w:r w:rsidRPr="00305D26">
        <w:t>Геодинамическая активность литосферы Сибири  (см. рис</w:t>
      </w:r>
      <w:proofErr w:type="gramStart"/>
      <w:r w:rsidRPr="00305D26">
        <w:t>1</w:t>
      </w:r>
      <w:proofErr w:type="gramEnd"/>
      <w:r w:rsidRPr="00305D26">
        <w:t>) охарактеризована через безразмерный интегральный показатель.  Естественным в современной геологии является желание выразить степень геодинамической активности литосферы в физических величинах, какими оцениваются энергия или мощности процессов. К сожалению, геология пока не располагает достаточным объемом исход</w:t>
      </w:r>
      <w:r w:rsidRPr="00305D26">
        <w:softHyphen/>
        <w:t xml:space="preserve">ных данных для подобных расчетов. Поэтому </w:t>
      </w:r>
      <w:r w:rsidRPr="00305D26">
        <w:lastRenderedPageBreak/>
        <w:t>предложенный интегральный показа</w:t>
      </w:r>
      <w:r w:rsidRPr="00305D26">
        <w:softHyphen/>
        <w:t>тель геодинамической активности служит вынужденной подменой энергетических характеристик. Поиски путей перехода от интегрального показателя к энергетическо</w:t>
      </w:r>
      <w:r w:rsidRPr="00305D26">
        <w:softHyphen/>
        <w:t>му - реальная и осуществимая задача ближайшего будущего.</w:t>
      </w:r>
    </w:p>
    <w:p w:rsidR="008E4C09" w:rsidRPr="00305D26" w:rsidRDefault="008E4C09" w:rsidP="008E4C09">
      <w:pPr>
        <w:ind w:firstLine="709"/>
        <w:jc w:val="both"/>
      </w:pPr>
    </w:p>
    <w:p w:rsidR="008E4C09" w:rsidRPr="00305D26" w:rsidRDefault="008E4C09" w:rsidP="008E4C09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8E4C09" w:rsidRPr="00305D26" w:rsidRDefault="008E4C09" w:rsidP="008E4C09">
      <w:pPr>
        <w:ind w:firstLine="709"/>
        <w:jc w:val="both"/>
      </w:pPr>
      <w:r w:rsidRPr="00305D26">
        <w:t>1. Артюшков Е.В. Геодинамика. М.: Наука, 1979. 327 с.</w:t>
      </w:r>
    </w:p>
    <w:p w:rsidR="008E4C09" w:rsidRPr="00305D26" w:rsidRDefault="008E4C09" w:rsidP="008E4C09">
      <w:pPr>
        <w:ind w:firstLine="709"/>
        <w:jc w:val="both"/>
      </w:pPr>
      <w:r w:rsidRPr="00305D26">
        <w:t>2. Геофизика океана. Геодина</w:t>
      </w:r>
      <w:r w:rsidRPr="00305D26">
        <w:softHyphen/>
        <w:t>мика. М.: Наука, 1979. 415 с.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3. </w:t>
      </w:r>
      <w:proofErr w:type="spellStart"/>
      <w:r w:rsidRPr="00305D26">
        <w:t>Зоненшайн</w:t>
      </w:r>
      <w:proofErr w:type="spellEnd"/>
      <w:r w:rsidRPr="00305D26">
        <w:t xml:space="preserve"> Л.П., Савостин Л.А. Введение в геодинамику. М.: Недра, 1979. 311 с.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4. </w:t>
      </w:r>
      <w:proofErr w:type="spellStart"/>
      <w:r w:rsidRPr="00305D26">
        <w:t>Кучай</w:t>
      </w:r>
      <w:proofErr w:type="spellEnd"/>
      <w:r w:rsidRPr="00305D26">
        <w:t xml:space="preserve"> В.К. - </w:t>
      </w:r>
      <w:proofErr w:type="spellStart"/>
      <w:r w:rsidRPr="00305D26">
        <w:t>Изв</w:t>
      </w:r>
      <w:proofErr w:type="spellEnd"/>
      <w:r w:rsidRPr="00305D26">
        <w:t>. АН СССР. Сер. геол., 1983, № 3, с. 134-140.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5. Геодинамическая карта территории СССР и прилегающих акваторий./Под ред. А.А. </w:t>
      </w:r>
      <w:proofErr w:type="spellStart"/>
      <w:r w:rsidRPr="00305D26">
        <w:t>Смыслова</w:t>
      </w:r>
      <w:proofErr w:type="spellEnd"/>
      <w:r w:rsidRPr="00305D26">
        <w:t>. Масштаб 1:10 000000  Л., 1981.</w:t>
      </w:r>
    </w:p>
    <w:p w:rsidR="008E4C09" w:rsidRPr="00305D26" w:rsidRDefault="008E4C09" w:rsidP="008E4C09">
      <w:pPr>
        <w:ind w:firstLine="709"/>
        <w:jc w:val="both"/>
      </w:pPr>
      <w:r w:rsidRPr="00305D26">
        <w:t>6. Глубинное строение и геодинамика литосферы. М.: Недра, 1983. 276 с.</w:t>
      </w:r>
    </w:p>
    <w:p w:rsidR="008E4C09" w:rsidRPr="00305D26" w:rsidRDefault="008E4C09" w:rsidP="008E4C09">
      <w:pPr>
        <w:ind w:firstLine="709"/>
        <w:jc w:val="both"/>
      </w:pPr>
      <w:r w:rsidRPr="00305D26">
        <w:t>7. Ермаков Б.В., Семов В.Н., Щукин Ю.К. В кн.: Современная тектоническая активность территории СССР. М.: Наука, 1984, с. 8-23.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8. Артемьев М.Е., </w:t>
      </w:r>
      <w:proofErr w:type="spellStart"/>
      <w:r w:rsidRPr="00305D26">
        <w:t>Рейснер</w:t>
      </w:r>
      <w:proofErr w:type="spellEnd"/>
      <w:r w:rsidRPr="00305D26">
        <w:t xml:space="preserve"> Г.И., </w:t>
      </w:r>
      <w:proofErr w:type="spellStart"/>
      <w:r w:rsidRPr="00305D26">
        <w:t>Шолпо</w:t>
      </w:r>
      <w:proofErr w:type="spellEnd"/>
      <w:r w:rsidRPr="00305D26">
        <w:t xml:space="preserve"> В.Н</w:t>
      </w:r>
      <w:r>
        <w:t>. Т</w:t>
      </w:r>
      <w:r w:rsidRPr="00305D26">
        <w:t>ам же</w:t>
      </w:r>
      <w:r>
        <w:t>,</w:t>
      </w:r>
      <w:r w:rsidRPr="00305D26">
        <w:t xml:space="preserve"> с. 80-93.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9. Белоусов В.В., Павленкова Н.И. - Геотектоника, 1985, № 1, с. 3-14.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10. </w:t>
      </w:r>
      <w:proofErr w:type="spellStart"/>
      <w:r w:rsidRPr="00305D26">
        <w:t>Шерман</w:t>
      </w:r>
      <w:proofErr w:type="spellEnd"/>
      <w:r w:rsidRPr="00305D26">
        <w:t xml:space="preserve"> С.И., </w:t>
      </w:r>
      <w:proofErr w:type="spellStart"/>
      <w:r w:rsidRPr="00305D26">
        <w:t>Борняков</w:t>
      </w:r>
      <w:proofErr w:type="spellEnd"/>
      <w:r w:rsidRPr="00305D26">
        <w:t xml:space="preserve"> С.А., </w:t>
      </w:r>
      <w:proofErr w:type="spellStart"/>
      <w:r w:rsidRPr="00305D26">
        <w:t>Буддо</w:t>
      </w:r>
      <w:proofErr w:type="spellEnd"/>
      <w:r w:rsidRPr="00305D26">
        <w:t xml:space="preserve"> В.Ю. Области динамического влияния разломов. Новосибирск: Наука, 1983. 111 с.</w:t>
      </w:r>
    </w:p>
    <w:p w:rsidR="008E4C09" w:rsidRPr="00305D26" w:rsidRDefault="008E4C09" w:rsidP="008E4C09">
      <w:pPr>
        <w:ind w:firstLine="709"/>
        <w:jc w:val="both"/>
      </w:pPr>
      <w:r>
        <w:t xml:space="preserve">11. </w:t>
      </w:r>
      <w:proofErr w:type="spellStart"/>
      <w:r>
        <w:t>Дучков</w:t>
      </w:r>
      <w:proofErr w:type="spellEnd"/>
      <w:r>
        <w:t xml:space="preserve"> А.Д., </w:t>
      </w:r>
      <w:proofErr w:type="spellStart"/>
      <w:r>
        <w:t>Бало</w:t>
      </w:r>
      <w:r w:rsidRPr="00305D26">
        <w:t>баев</w:t>
      </w:r>
      <w:proofErr w:type="spellEnd"/>
      <w:r w:rsidRPr="00305D26">
        <w:t xml:space="preserve"> В.Т., Лысак С.В., Соколо</w:t>
      </w:r>
      <w:r w:rsidRPr="00305D26">
        <w:softHyphen/>
        <w:t>ва Л.С</w:t>
      </w:r>
      <w:r>
        <w:t>.</w:t>
      </w:r>
      <w:r w:rsidRPr="00305D26">
        <w:t xml:space="preserve"> - Геол. и </w:t>
      </w:r>
      <w:proofErr w:type="spellStart"/>
      <w:r w:rsidRPr="00305D26">
        <w:t>геофиз</w:t>
      </w:r>
      <w:proofErr w:type="spellEnd"/>
      <w:r w:rsidRPr="00305D26">
        <w:t>., 1982, №1, с. 42-51.</w:t>
      </w:r>
    </w:p>
    <w:p w:rsidR="008E4C09" w:rsidRPr="00305D26" w:rsidRDefault="008E4C09" w:rsidP="008E4C09">
      <w:pPr>
        <w:ind w:firstLine="709"/>
        <w:jc w:val="both"/>
      </w:pPr>
      <w:r w:rsidRPr="00305D26">
        <w:t>12. Крылов С</w:t>
      </w:r>
      <w:r>
        <w:t>.</w:t>
      </w:r>
      <w:r w:rsidRPr="00305D26">
        <w:t xml:space="preserve">В., </w:t>
      </w:r>
      <w:proofErr w:type="spellStart"/>
      <w:r w:rsidRPr="00305D26">
        <w:t>Мандельбаум</w:t>
      </w:r>
      <w:proofErr w:type="spellEnd"/>
      <w:r w:rsidRPr="00305D26">
        <w:t xml:space="preserve"> М.М., </w:t>
      </w:r>
      <w:proofErr w:type="spellStart"/>
      <w:r w:rsidRPr="00305D26">
        <w:t>Мишенькин</w:t>
      </w:r>
      <w:proofErr w:type="spellEnd"/>
      <w:r w:rsidRPr="00305D26">
        <w:t xml:space="preserve"> Б.П. и др. Недра Байкала по сейсмическим данным. Новосибирск: Наука, 1981. 105 с.</w:t>
      </w:r>
    </w:p>
    <w:p w:rsidR="008E4C09" w:rsidRPr="00305D26" w:rsidRDefault="008E4C09" w:rsidP="008E4C09">
      <w:pPr>
        <w:ind w:firstLine="709"/>
        <w:jc w:val="both"/>
      </w:pPr>
      <w:r w:rsidRPr="00305D26">
        <w:t>13. Новый каталог сильных землетрясений на территории СССР. М.: Наука, 1977. 536 с.</w:t>
      </w:r>
    </w:p>
    <w:p w:rsidR="008E4C09" w:rsidRDefault="008E4C09" w:rsidP="008E4C09">
      <w:pPr>
        <w:ind w:firstLine="709"/>
        <w:jc w:val="both"/>
      </w:pPr>
      <w:r w:rsidRPr="00305D26">
        <w:t xml:space="preserve">14. Чермак В. - </w:t>
      </w:r>
      <w:proofErr w:type="spellStart"/>
      <w:r w:rsidRPr="00305D26">
        <w:t>Изв</w:t>
      </w:r>
      <w:proofErr w:type="spellEnd"/>
      <w:r w:rsidRPr="00305D26">
        <w:t>. АН СССР. Физика Земли, 1982, №1, с. 25-32.</w:t>
      </w:r>
    </w:p>
    <w:p w:rsidR="001D1CD2" w:rsidRPr="008E4C09" w:rsidRDefault="001D1CD2" w:rsidP="008E4C09"/>
    <w:sectPr w:rsidR="001D1CD2" w:rsidRPr="008E4C09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DD" w:rsidRDefault="005334DD">
      <w:r>
        <w:separator/>
      </w:r>
    </w:p>
  </w:endnote>
  <w:endnote w:type="continuationSeparator" w:id="0">
    <w:p w:rsidR="005334DD" w:rsidRDefault="0053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DD" w:rsidRDefault="005334DD">
      <w:r>
        <w:separator/>
      </w:r>
    </w:p>
  </w:footnote>
  <w:footnote w:type="continuationSeparator" w:id="0">
    <w:p w:rsidR="005334DD" w:rsidRDefault="005334DD">
      <w:r>
        <w:continuationSeparator/>
      </w:r>
    </w:p>
  </w:footnote>
  <w:footnote w:id="1">
    <w:p w:rsidR="008E4C09" w:rsidRPr="009931F8" w:rsidRDefault="008E4C09" w:rsidP="008E4C09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9931F8">
        <w:t xml:space="preserve">Н.А </w:t>
      </w:r>
      <w:proofErr w:type="spellStart"/>
      <w:r w:rsidRPr="009931F8">
        <w:t>Логачев</w:t>
      </w:r>
      <w:proofErr w:type="spellEnd"/>
      <w:r w:rsidRPr="009931F8">
        <w:t xml:space="preserve">, </w:t>
      </w:r>
      <w:r>
        <w:t>К.Г. Леви.</w:t>
      </w:r>
      <w:r w:rsidRPr="009931F8">
        <w:t xml:space="preserve"> </w:t>
      </w:r>
      <w:proofErr w:type="spellStart"/>
      <w:r w:rsidRPr="009931F8">
        <w:t>Докл</w:t>
      </w:r>
      <w:proofErr w:type="spellEnd"/>
      <w:r w:rsidRPr="009931F8">
        <w:t>. АН СССР. – 1986. – Т. 289, № 6. – С. 1458–1461.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D"/>
    <w:rsid w:val="00026982"/>
    <w:rsid w:val="000511E6"/>
    <w:rsid w:val="00065588"/>
    <w:rsid w:val="00073202"/>
    <w:rsid w:val="0007656C"/>
    <w:rsid w:val="00076B1C"/>
    <w:rsid w:val="000776CE"/>
    <w:rsid w:val="0008673B"/>
    <w:rsid w:val="000B06CA"/>
    <w:rsid w:val="000C3066"/>
    <w:rsid w:val="000C3C38"/>
    <w:rsid w:val="000E233F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334DD"/>
    <w:rsid w:val="0054527D"/>
    <w:rsid w:val="005466A2"/>
    <w:rsid w:val="00572CAA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E4C09"/>
    <w:rsid w:val="008F155E"/>
    <w:rsid w:val="00915FD2"/>
    <w:rsid w:val="00927C41"/>
    <w:rsid w:val="00933E15"/>
    <w:rsid w:val="00944882"/>
    <w:rsid w:val="00944AF7"/>
    <w:rsid w:val="00953579"/>
    <w:rsid w:val="00957405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659E0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85F72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A63AF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E4C09"/>
  </w:style>
  <w:style w:type="paragraph" w:styleId="af0">
    <w:name w:val="Balloon Text"/>
    <w:basedOn w:val="a"/>
    <w:link w:val="af1"/>
    <w:rsid w:val="00EA63A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A6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E4C09"/>
  </w:style>
  <w:style w:type="paragraph" w:styleId="af0">
    <w:name w:val="Balloon Text"/>
    <w:basedOn w:val="a"/>
    <w:link w:val="af1"/>
    <w:rsid w:val="00EA63A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A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944A-2E0D-4CA9-9758-F35ECEB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имя</cp:lastModifiedBy>
  <cp:revision>36</cp:revision>
  <dcterms:created xsi:type="dcterms:W3CDTF">2017-01-13T05:21:00Z</dcterms:created>
  <dcterms:modified xsi:type="dcterms:W3CDTF">2017-05-24T02:24:00Z</dcterms:modified>
</cp:coreProperties>
</file>